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Lines w:val="0"/>
        <w:pageBreakBefore w:val="0"/>
        <w:kinsoku/>
        <w:wordWrap/>
        <w:overflowPunct/>
        <w:topLinePunct w:val="0"/>
        <w:autoSpaceDE/>
        <w:autoSpaceDN/>
        <w:bidi w:val="0"/>
        <w:adjustRightInd/>
        <w:snapToGrid/>
        <w:ind w:left="0" w:leftChars="0"/>
        <w:jc w:val="center"/>
        <w:rPr>
          <w:rFonts w:hint="default" w:ascii="黑体" w:hAnsi="黑体" w:eastAsia="黑体"/>
          <w:b/>
          <w:bCs/>
          <w:sz w:val="44"/>
          <w:szCs w:val="44"/>
          <w:lang w:val="en-US" w:eastAsia="zh-CN"/>
        </w:rPr>
      </w:pPr>
      <w:r>
        <w:rPr>
          <w:rFonts w:hint="eastAsia" w:ascii="黑体" w:hAnsi="黑体" w:eastAsia="黑体"/>
          <w:b/>
          <w:bCs/>
          <w:sz w:val="44"/>
          <w:szCs w:val="44"/>
          <w:lang w:val="en-US" w:eastAsia="zh-CN"/>
        </w:rPr>
        <w:t>水质净化厂优化控制与智慧运营服务</w:t>
      </w:r>
    </w:p>
    <w:p>
      <w:pPr>
        <w:keepLines w:val="0"/>
        <w:pageBreakBefore w:val="0"/>
        <w:kinsoku/>
        <w:wordWrap/>
        <w:overflowPunct/>
        <w:topLinePunct w:val="0"/>
        <w:autoSpaceDE/>
        <w:autoSpaceDN/>
        <w:bidi w:val="0"/>
        <w:adjustRightInd/>
        <w:snapToGrid/>
        <w:ind w:left="0" w:leftChars="0"/>
        <w:jc w:val="center"/>
        <w:rPr>
          <w:rFonts w:hint="default" w:ascii="仿宋" w:hAnsi="仿宋" w:eastAsia="仿宋" w:cs="仿宋"/>
          <w:sz w:val="24"/>
          <w:szCs w:val="24"/>
          <w:lang w:val="en-US" w:eastAsia="zh-CN"/>
        </w:rPr>
      </w:pPr>
      <w:r>
        <w:rPr>
          <w:rFonts w:hint="eastAsia" w:ascii="仿宋" w:hAnsi="仿宋" w:eastAsia="仿宋" w:cs="仿宋"/>
          <w:sz w:val="24"/>
          <w:szCs w:val="24"/>
        </w:rPr>
        <w:t>郑燕丽</w:t>
      </w:r>
      <w:r>
        <w:rPr>
          <w:rFonts w:hint="eastAsia" w:ascii="宋体" w:hAnsi="宋体" w:eastAsia="宋体"/>
          <w:sz w:val="28"/>
          <w:szCs w:val="28"/>
          <w:vertAlign w:val="superscript"/>
          <w:lang w:val="en-US" w:eastAsia="zh-CN"/>
        </w:rPr>
        <w:t>1</w:t>
      </w:r>
      <w:r>
        <w:rPr>
          <w:rFonts w:hint="eastAsia" w:ascii="仿宋" w:hAnsi="仿宋" w:eastAsia="仿宋" w:cs="仿宋"/>
          <w:sz w:val="24"/>
          <w:szCs w:val="24"/>
          <w:lang w:val="en-US" w:eastAsia="zh-CN"/>
        </w:rPr>
        <w:t>，林志杰</w:t>
      </w:r>
      <w:r>
        <w:rPr>
          <w:rFonts w:hint="eastAsia" w:ascii="宋体" w:hAnsi="宋体" w:eastAsia="宋体"/>
          <w:sz w:val="28"/>
          <w:szCs w:val="28"/>
          <w:vertAlign w:val="superscript"/>
          <w:lang w:val="en-US" w:eastAsia="zh-CN"/>
        </w:rPr>
        <w:t xml:space="preserve">2 </w:t>
      </w:r>
      <w:r>
        <w:rPr>
          <w:rFonts w:hint="eastAsia" w:ascii="仿宋" w:hAnsi="仿宋" w:eastAsia="仿宋" w:cs="仿宋"/>
          <w:sz w:val="24"/>
          <w:szCs w:val="24"/>
          <w:lang w:val="en-US" w:eastAsia="zh-CN"/>
        </w:rPr>
        <w:t>，</w:t>
      </w:r>
      <w:bookmarkStart w:id="8" w:name="_GoBack"/>
      <w:bookmarkEnd w:id="8"/>
      <w:r>
        <w:rPr>
          <w:rFonts w:hint="eastAsia" w:ascii="仿宋" w:hAnsi="仿宋" w:eastAsia="仿宋" w:cs="仿宋"/>
          <w:sz w:val="24"/>
          <w:szCs w:val="24"/>
          <w:lang w:val="en-US" w:eastAsia="zh-CN"/>
        </w:rPr>
        <w:t>邵文妍</w:t>
      </w:r>
      <w:r>
        <w:rPr>
          <w:rFonts w:hint="eastAsia" w:ascii="宋体" w:hAnsi="宋体" w:eastAsia="宋体"/>
          <w:sz w:val="28"/>
          <w:szCs w:val="28"/>
          <w:vertAlign w:val="superscript"/>
          <w:lang w:val="en-US" w:eastAsia="zh-CN"/>
        </w:rPr>
        <w:t>1</w:t>
      </w:r>
    </w:p>
    <w:p>
      <w:pPr>
        <w:keepLines w:val="0"/>
        <w:pageBreakBefore w:val="0"/>
        <w:kinsoku/>
        <w:wordWrap/>
        <w:overflowPunct/>
        <w:topLinePunct w:val="0"/>
        <w:autoSpaceDE/>
        <w:autoSpaceDN/>
        <w:bidi w:val="0"/>
        <w:adjustRightInd/>
        <w:snapToGrid/>
        <w:ind w:left="0" w:leftChars="0"/>
        <w:jc w:val="center"/>
        <w:rPr>
          <w:rFonts w:hint="eastAsia" w:ascii="仿宋" w:hAnsi="仿宋" w:eastAsia="仿宋" w:cs="仿宋"/>
          <w:b/>
          <w:bCs/>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1.</w:t>
      </w:r>
      <w:r>
        <w:rPr>
          <w:rFonts w:hint="eastAsia" w:ascii="仿宋" w:hAnsi="仿宋" w:eastAsia="仿宋" w:cs="仿宋"/>
          <w:sz w:val="24"/>
          <w:szCs w:val="24"/>
        </w:rPr>
        <w:t>上海昊沧系统控制技术有限责任公司，上海 200030</w:t>
      </w:r>
      <w:r>
        <w:rPr>
          <w:rFonts w:hint="eastAsia" w:ascii="仿宋" w:hAnsi="仿宋" w:eastAsia="仿宋" w:cs="仿宋"/>
          <w:sz w:val="24"/>
          <w:szCs w:val="24"/>
          <w:lang w:val="en-US" w:eastAsia="zh-CN"/>
        </w:rPr>
        <w:t>；2.三亚海绵城市投资建设有限公司，海南 三亚 572000</w:t>
      </w:r>
      <w:r>
        <w:rPr>
          <w:rFonts w:hint="eastAsia" w:ascii="仿宋" w:hAnsi="仿宋" w:eastAsia="仿宋" w:cs="仿宋"/>
          <w:sz w:val="24"/>
          <w:szCs w:val="24"/>
        </w:rPr>
        <w:t>）</w:t>
      </w:r>
    </w:p>
    <w:p>
      <w:pPr>
        <w:pStyle w:val="42"/>
        <w:keepLines w:val="0"/>
        <w:pageBreakBefore w:val="0"/>
        <w:kinsoku/>
        <w:wordWrap/>
        <w:overflowPunct/>
        <w:topLinePunct w:val="0"/>
        <w:autoSpaceDE/>
        <w:autoSpaceDN/>
        <w:bidi w:val="0"/>
        <w:adjustRightInd/>
        <w:snapToGrid/>
        <w:ind w:left="0" w:leftChars="0"/>
        <w:rPr>
          <w:rFonts w:hint="eastAsia" w:ascii="楷体" w:hAnsi="楷体" w:eastAsia="楷体" w:cs="楷体"/>
          <w:sz w:val="21"/>
          <w:szCs w:val="21"/>
          <w:lang w:val="en-US" w:eastAsia="zh-CN"/>
        </w:rPr>
      </w:pPr>
      <w:r>
        <w:rPr>
          <w:rFonts w:hint="eastAsia" w:ascii="楷体" w:hAnsi="楷体" w:eastAsia="楷体" w:cs="楷体"/>
          <w:b/>
          <w:bCs/>
          <w:sz w:val="21"/>
          <w:szCs w:val="21"/>
        </w:rPr>
        <w:t xml:space="preserve">摘 要 </w:t>
      </w:r>
      <w:r>
        <w:rPr>
          <w:rFonts w:hint="eastAsia" w:ascii="楷体" w:hAnsi="楷体" w:eastAsia="楷体" w:cs="楷体"/>
          <w:sz w:val="21"/>
          <w:szCs w:val="21"/>
          <w:lang w:val="en-US" w:eastAsia="zh-CN"/>
        </w:rPr>
        <w:t>三亚市荔枝沟水质净化厂通过自动化控制系统的升级改造、核心工艺的智能化控制和全厂数字化的智慧运营管理系统三方面先进举措实现了水质净化厂的优化控制和智慧运营服务。</w:t>
      </w:r>
    </w:p>
    <w:p>
      <w:pPr>
        <w:pStyle w:val="30"/>
        <w:keepLines w:val="0"/>
        <w:pageBreakBefore w:val="0"/>
        <w:kinsoku/>
        <w:wordWrap/>
        <w:overflowPunct/>
        <w:topLinePunct w:val="0"/>
        <w:autoSpaceDE/>
        <w:autoSpaceDN/>
        <w:bidi w:val="0"/>
        <w:adjustRightInd/>
        <w:snapToGrid/>
        <w:ind w:left="0" w:leftChars="0"/>
        <w:jc w:val="left"/>
        <w:rPr>
          <w:rFonts w:hint="eastAsia" w:ascii="楷体" w:hAnsi="楷体" w:eastAsia="楷体" w:cs="楷体"/>
          <w:sz w:val="21"/>
          <w:szCs w:val="21"/>
          <w:lang w:val="en-US" w:eastAsia="zh-CN"/>
        </w:rPr>
      </w:pPr>
      <w:r>
        <w:rPr>
          <w:rFonts w:hint="eastAsia" w:ascii="楷体" w:hAnsi="楷体" w:eastAsia="楷体" w:cs="楷体"/>
          <w:b/>
          <w:bCs/>
          <w:sz w:val="21"/>
          <w:szCs w:val="21"/>
        </w:rPr>
        <w:t xml:space="preserve">关键词 </w:t>
      </w:r>
      <w:r>
        <w:rPr>
          <w:rFonts w:hint="eastAsia" w:ascii="楷体" w:hAnsi="楷体" w:eastAsia="楷体" w:cs="楷体"/>
          <w:kern w:val="2"/>
          <w:sz w:val="21"/>
          <w:szCs w:val="21"/>
          <w:lang w:val="en-US" w:eastAsia="zh-CN" w:bidi="ar-SA"/>
        </w:rPr>
        <w:t>优化控制</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工艺仿真</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智能化控制</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提质增效 智慧运营</w:t>
      </w:r>
    </w:p>
    <w:p>
      <w:pPr>
        <w:pStyle w:val="30"/>
        <w:keepLines w:val="0"/>
        <w:pageBreakBefore w:val="0"/>
        <w:kinsoku/>
        <w:wordWrap/>
        <w:overflowPunct/>
        <w:topLinePunct w:val="0"/>
        <w:autoSpaceDE/>
        <w:autoSpaceDN/>
        <w:bidi w:val="0"/>
        <w:adjustRightInd/>
        <w:snapToGrid/>
        <w:ind w:left="0" w:leftChars="0"/>
        <w:jc w:val="left"/>
        <w:rPr>
          <w:rFonts w:hint="eastAsia" w:ascii="宋体" w:hAnsi="宋体"/>
          <w:sz w:val="21"/>
          <w:szCs w:val="21"/>
        </w:rPr>
      </w:pPr>
      <w:r>
        <w:rPr>
          <w:rFonts w:hint="eastAsia" w:ascii="宋体" w:hAnsi="宋体"/>
          <w:sz w:val="21"/>
          <w:szCs w:val="21"/>
          <w:lang w:val="en-US" w:eastAsia="zh-CN"/>
        </w:rPr>
        <w:t xml:space="preserve"> </w:t>
      </w:r>
    </w:p>
    <w:p>
      <w:pPr>
        <w:pStyle w:val="42"/>
        <w:keepNext w:val="0"/>
        <w:keepLines w:val="0"/>
        <w:pageBreakBefore w:val="0"/>
        <w:widowControl/>
        <w:kinsoku/>
        <w:wordWrap/>
        <w:overflowPunct/>
        <w:topLinePunct w:val="0"/>
        <w:autoSpaceDE/>
        <w:autoSpaceDN/>
        <w:bidi w:val="0"/>
        <w:adjustRightInd/>
        <w:snapToGrid/>
        <w:ind w:left="0" w:leftChars="0" w:firstLine="420" w:firstLineChars="20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三亚市荔枝沟水质净化</w:t>
      </w:r>
      <w:r>
        <w:rPr>
          <w:rFonts w:hint="eastAsia" w:ascii="宋体" w:hAnsi="宋体" w:cs="宋体"/>
          <w:sz w:val="21"/>
          <w:szCs w:val="21"/>
          <w:vertAlign w:val="baseline"/>
          <w:lang w:val="en-US" w:eastAsia="zh-CN"/>
        </w:rPr>
        <w:t>厂今年通过升级工艺、优化控制和智慧运营服务完成全厂（</w:t>
      </w:r>
      <w:r>
        <w:rPr>
          <w:rFonts w:hint="eastAsia" w:ascii="宋体" w:hAnsi="宋体" w:eastAsia="宋体" w:cs="宋体"/>
          <w:sz w:val="21"/>
          <w:szCs w:val="21"/>
          <w:vertAlign w:val="baseline"/>
          <w:lang w:val="en-US" w:eastAsia="zh-CN"/>
        </w:rPr>
        <w:t>包括现状一厂3.0万m³/d和新建二厂4.0m³/d</w:t>
      </w:r>
      <w:r>
        <w:rPr>
          <w:rFonts w:hint="eastAsia" w:ascii="宋体" w:hAnsi="宋体" w:cs="宋体"/>
          <w:sz w:val="21"/>
          <w:szCs w:val="21"/>
          <w:vertAlign w:val="baseline"/>
          <w:lang w:val="en-US" w:eastAsia="zh-CN"/>
        </w:rPr>
        <w:t>）的</w:t>
      </w:r>
      <w:r>
        <w:rPr>
          <w:rFonts w:hint="eastAsia" w:ascii="宋体" w:hAnsi="宋体" w:eastAsia="宋体" w:cs="宋体"/>
          <w:sz w:val="21"/>
          <w:szCs w:val="21"/>
          <w:vertAlign w:val="baseline"/>
          <w:lang w:val="en-US" w:eastAsia="zh-CN"/>
        </w:rPr>
        <w:t>提标改造。工艺采用改良</w:t>
      </w:r>
      <w:r>
        <w:t>AAO</w:t>
      </w:r>
      <w:r>
        <w:rPr>
          <w:rFonts w:hint="eastAsia" w:ascii="宋体" w:hAnsi="宋体" w:eastAsia="宋体" w:cs="宋体"/>
          <w:sz w:val="21"/>
          <w:szCs w:val="21"/>
          <w:vertAlign w:val="baseline"/>
          <w:lang w:val="en-US" w:eastAsia="zh-CN"/>
        </w:rPr>
        <w:t>加一体化深床滤池，将一厂和二厂的一级A标准出水提升至北京地标B类（类地表IV类水）标准。</w:t>
      </w:r>
    </w:p>
    <w:p>
      <w:pPr>
        <w:pStyle w:val="42"/>
        <w:keepNext w:val="0"/>
        <w:keepLines w:val="0"/>
        <w:pageBreakBefore w:val="0"/>
        <w:widowControl/>
        <w:kinsoku/>
        <w:wordWrap/>
        <w:overflowPunct/>
        <w:topLinePunct w:val="0"/>
        <w:autoSpaceDE/>
        <w:autoSpaceDN/>
        <w:bidi w:val="0"/>
        <w:adjustRightInd/>
        <w:snapToGrid/>
        <w:ind w:left="0" w:leftChars="0" w:firstLine="420" w:firstLineChars="200"/>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本文以三亚市荔枝沟水质净化厂提标改造项目中的三方面先进举措为例说明水质净化厂如何实现优化控制与智慧运营服务。</w:t>
      </w:r>
    </w:p>
    <w:p>
      <w:pPr>
        <w:pStyle w:val="2"/>
        <w:keepNext/>
        <w:keepLines w:val="0"/>
        <w:pageBreakBefore w:val="0"/>
        <w:widowControl/>
        <w:kinsoku/>
        <w:wordWrap/>
        <w:overflowPunct/>
        <w:topLinePunct w:val="0"/>
        <w:autoSpaceDE/>
        <w:autoSpaceDN/>
        <w:bidi w:val="0"/>
        <w:adjustRightInd/>
        <w:snapToGrid/>
        <w:spacing w:before="0" w:after="0"/>
        <w:ind w:left="0" w:leftChars="0"/>
        <w:textAlignment w:val="auto"/>
        <w:rPr>
          <w:rFonts w:hint="default"/>
          <w:lang w:val="en-US" w:eastAsia="zh-CN"/>
        </w:rPr>
      </w:pPr>
      <w:r>
        <w:rPr>
          <w:rFonts w:hint="eastAsia"/>
          <w:lang w:val="en-US" w:eastAsia="zh-CN"/>
        </w:rPr>
        <w:t>自动化控制系统升级改造</w:t>
      </w:r>
    </w:p>
    <w:p>
      <w:pPr>
        <w:pStyle w:val="3"/>
        <w:keepNext/>
        <w:keepLines w:val="0"/>
        <w:pageBreakBefore w:val="0"/>
        <w:widowControl/>
        <w:kinsoku/>
        <w:wordWrap/>
        <w:overflowPunct/>
        <w:topLinePunct w:val="0"/>
        <w:autoSpaceDE/>
        <w:autoSpaceDN/>
        <w:bidi w:val="0"/>
        <w:adjustRightInd/>
        <w:snapToGrid/>
        <w:spacing w:before="0" w:after="0"/>
        <w:ind w:left="578" w:leftChars="0" w:hanging="578"/>
        <w:textAlignment w:val="auto"/>
        <w:rPr>
          <w:rFonts w:hint="eastAsia" w:ascii="宋体" w:hAnsi="宋体" w:eastAsia="宋体" w:cs="宋体"/>
          <w:sz w:val="21"/>
          <w:szCs w:val="21"/>
        </w:rPr>
      </w:pPr>
      <w:r>
        <w:rPr>
          <w:rFonts w:hint="eastAsia" w:ascii="宋体" w:hAnsi="宋体" w:eastAsia="宋体" w:cs="宋体"/>
          <w:sz w:val="21"/>
          <w:szCs w:val="21"/>
        </w:rPr>
        <w:t>采用当今先进而成熟的自动化检测与控制技术</w:t>
      </w:r>
    </w:p>
    <w:p>
      <w:pPr>
        <w:pStyle w:val="42"/>
        <w:keepNext w:val="0"/>
        <w:keepLines w:val="0"/>
        <w:pageBreakBefore w:val="0"/>
        <w:widowControl/>
        <w:kinsoku/>
        <w:wordWrap/>
        <w:overflowPunct/>
        <w:topLinePunct w:val="0"/>
        <w:autoSpaceDE/>
        <w:autoSpaceDN/>
        <w:bidi w:val="0"/>
        <w:adjustRightInd/>
        <w:snapToGrid/>
        <w:ind w:left="0" w:leftChars="0" w:firstLine="420" w:firstLineChars="20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控制程序依据在线仪表的检测数据自动调节设备运行参数，无需人工干预和操作。核心设备及网络采用高可靠选型</w:t>
      </w:r>
      <w:r>
        <w:rPr>
          <w:rFonts w:hint="eastAsia" w:ascii="宋体" w:hAnsi="宋体" w:cs="宋体"/>
          <w:sz w:val="21"/>
          <w:szCs w:val="21"/>
          <w:vertAlign w:val="baseline"/>
          <w:lang w:val="en-US" w:eastAsia="zh-CN"/>
        </w:rPr>
        <w:t>、</w:t>
      </w:r>
      <w:r>
        <w:rPr>
          <w:rFonts w:hint="eastAsia" w:ascii="宋体" w:hAnsi="宋体" w:eastAsia="宋体" w:cs="宋体"/>
          <w:sz w:val="21"/>
          <w:szCs w:val="21"/>
          <w:vertAlign w:val="baseline"/>
          <w:lang w:val="en-US" w:eastAsia="zh-CN"/>
        </w:rPr>
        <w:t>冗余设计，故障状态下能够选择切换至备用部件。在自动化控制模式下，自主驱动污水处理设备实现控制目标，并持续优化调整控制策略，以获得稳定与精准的控制效果，适应不断变化的运行工况。</w:t>
      </w:r>
    </w:p>
    <w:p>
      <w:pPr>
        <w:pStyle w:val="3"/>
        <w:keepLines w:val="0"/>
        <w:pageBreakBefore w:val="0"/>
        <w:kinsoku/>
        <w:wordWrap/>
        <w:overflowPunct/>
        <w:topLinePunct w:val="0"/>
        <w:autoSpaceDE/>
        <w:autoSpaceDN/>
        <w:bidi w:val="0"/>
        <w:adjustRightInd/>
        <w:snapToGrid/>
        <w:spacing w:before="0" w:after="0"/>
        <w:ind w:left="0"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提高自控系统运行可靠性</w:t>
      </w:r>
    </w:p>
    <w:p>
      <w:pPr>
        <w:pStyle w:val="42"/>
        <w:keepNext w:val="0"/>
        <w:keepLines w:val="0"/>
        <w:pageBreakBefore w:val="0"/>
        <w:widowControl/>
        <w:kinsoku/>
        <w:wordWrap/>
        <w:overflowPunct/>
        <w:topLinePunct w:val="0"/>
        <w:autoSpaceDE/>
        <w:autoSpaceDN/>
        <w:bidi w:val="0"/>
        <w:adjustRightInd/>
        <w:snapToGrid/>
        <w:ind w:left="0" w:leftChars="0" w:firstLine="420" w:firstLineChars="20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三亚市荔枝沟水质净化厂针对自控系统运行过程中潜在风险点进行规范管理，降低未来潜在事故发生风险，并对设备运行中存在问题系统提供有效的应急处理预案机制，保障控制系统高可靠的运行；</w:t>
      </w:r>
    </w:p>
    <w:p>
      <w:pPr>
        <w:pStyle w:val="3"/>
        <w:keepLines w:val="0"/>
        <w:pageBreakBefore w:val="0"/>
        <w:kinsoku/>
        <w:wordWrap/>
        <w:overflowPunct/>
        <w:topLinePunct w:val="0"/>
        <w:autoSpaceDE/>
        <w:autoSpaceDN/>
        <w:bidi w:val="0"/>
        <w:adjustRightInd/>
        <w:snapToGrid/>
        <w:spacing w:before="0" w:after="0"/>
        <w:ind w:left="0" w:leftChars="0"/>
      </w:pPr>
      <w:r>
        <w:rPr>
          <w:rFonts w:hint="eastAsia"/>
          <w:lang w:val="en-US" w:eastAsia="zh-CN"/>
        </w:rPr>
        <w:t>建立一套可量化的自控系统评价指标</w:t>
      </w:r>
    </w:p>
    <w:p>
      <w:pPr>
        <w:pStyle w:val="42"/>
        <w:keepNext w:val="0"/>
        <w:keepLines w:val="0"/>
        <w:pageBreakBefore w:val="0"/>
        <w:widowControl/>
        <w:kinsoku/>
        <w:wordWrap/>
        <w:overflowPunct/>
        <w:topLinePunct w:val="0"/>
        <w:autoSpaceDE/>
        <w:autoSpaceDN/>
        <w:bidi w:val="0"/>
        <w:adjustRightInd/>
        <w:snapToGrid/>
        <w:ind w:left="0" w:leftChars="0" w:firstLine="420" w:firstLineChars="20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传统水质净化厂判断自控系统运行的好坏通常是凭经验和感觉，没有科学的评价依据。三亚市荔枝沟水质净化厂建立</w:t>
      </w:r>
      <w:r>
        <w:rPr>
          <w:rFonts w:hint="eastAsia" w:ascii="宋体" w:hAnsi="宋体" w:cs="宋体"/>
          <w:sz w:val="21"/>
          <w:szCs w:val="21"/>
          <w:vertAlign w:val="baseline"/>
          <w:lang w:val="en-US" w:eastAsia="zh-CN"/>
        </w:rPr>
        <w:t>了</w:t>
      </w:r>
      <w:r>
        <w:rPr>
          <w:rFonts w:hint="eastAsia" w:ascii="宋体" w:hAnsi="宋体" w:eastAsia="宋体" w:cs="宋体"/>
          <w:sz w:val="21"/>
          <w:szCs w:val="21"/>
          <w:vertAlign w:val="baseline"/>
          <w:lang w:val="en-US" w:eastAsia="zh-CN"/>
        </w:rPr>
        <w:t>一套可量化的自控系统评价指标，管理者可通过数据直观了解自控系统运行情况，并有针对性的进行优化。三亚市荔枝沟水质净化厂建立的自控系统评价指标如下：</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0"/>
        <w:gridCol w:w="3896"/>
        <w:gridCol w:w="3045"/>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0" w:type="dxa"/>
            <w:tcBorders>
              <w:top w:val="single" w:color="auto" w:sz="12" w:space="0"/>
              <w:left w:val="nil"/>
              <w:bottom w:val="single" w:color="auto" w:sz="8" w:space="0"/>
              <w:right w:val="nil"/>
            </w:tcBorders>
            <w:shd w:val="clear" w:color="auto" w:fill="FFFFFF"/>
          </w:tcPr>
          <w:p>
            <w:pPr>
              <w:keepLines w:val="0"/>
              <w:pageBreakBefore w:val="0"/>
              <w:kinsoku/>
              <w:wordWrap/>
              <w:overflowPunct/>
              <w:topLinePunct w:val="0"/>
              <w:autoSpaceDE/>
              <w:autoSpaceDN/>
              <w:bidi w:val="0"/>
              <w:adjustRightInd/>
              <w:snapToGrid/>
              <w:ind w:left="0" w:leftChars="0"/>
              <w:jc w:val="center"/>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指标名称</w:t>
            </w:r>
          </w:p>
        </w:tc>
        <w:tc>
          <w:tcPr>
            <w:tcW w:w="3896" w:type="dxa"/>
            <w:tcBorders>
              <w:top w:val="single" w:color="auto" w:sz="12" w:space="0"/>
              <w:left w:val="nil"/>
              <w:bottom w:val="single" w:color="auto" w:sz="8" w:space="0"/>
              <w:right w:val="nil"/>
            </w:tcBorders>
            <w:shd w:val="clear" w:color="auto" w:fill="FFFFFF"/>
          </w:tcPr>
          <w:p>
            <w:pPr>
              <w:keepLines w:val="0"/>
              <w:pageBreakBefore w:val="0"/>
              <w:kinsoku/>
              <w:wordWrap/>
              <w:overflowPunct/>
              <w:topLinePunct w:val="0"/>
              <w:autoSpaceDE/>
              <w:autoSpaceDN/>
              <w:bidi w:val="0"/>
              <w:adjustRightInd/>
              <w:snapToGrid/>
              <w:ind w:left="0" w:leftChars="0"/>
              <w:jc w:val="center"/>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定义</w:t>
            </w:r>
          </w:p>
        </w:tc>
        <w:tc>
          <w:tcPr>
            <w:tcW w:w="3045" w:type="dxa"/>
            <w:tcBorders>
              <w:top w:val="single" w:color="auto" w:sz="12" w:space="0"/>
              <w:left w:val="nil"/>
              <w:bottom w:val="single" w:color="auto" w:sz="8" w:space="0"/>
              <w:right w:val="nil"/>
            </w:tcBorders>
            <w:shd w:val="clear" w:color="auto" w:fill="FFFFFF"/>
          </w:tcPr>
          <w:p>
            <w:pPr>
              <w:keepLines w:val="0"/>
              <w:pageBreakBefore w:val="0"/>
              <w:kinsoku/>
              <w:wordWrap/>
              <w:overflowPunct/>
              <w:topLinePunct w:val="0"/>
              <w:autoSpaceDE/>
              <w:autoSpaceDN/>
              <w:bidi w:val="0"/>
              <w:adjustRightInd/>
              <w:snapToGrid/>
              <w:ind w:left="0" w:leftChars="0"/>
              <w:jc w:val="center"/>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公式</w:t>
            </w:r>
          </w:p>
        </w:tc>
        <w:tc>
          <w:tcPr>
            <w:tcW w:w="1275" w:type="dxa"/>
            <w:tcBorders>
              <w:top w:val="single" w:color="auto" w:sz="12" w:space="0"/>
              <w:left w:val="nil"/>
              <w:bottom w:val="single" w:color="auto" w:sz="8" w:space="0"/>
              <w:right w:val="nil"/>
            </w:tcBorders>
            <w:shd w:val="clear" w:color="auto" w:fill="FFFFFF"/>
          </w:tcPr>
          <w:p>
            <w:pPr>
              <w:keepLines w:val="0"/>
              <w:pageBreakBefore w:val="0"/>
              <w:kinsoku/>
              <w:wordWrap/>
              <w:overflowPunct/>
              <w:topLinePunct w:val="0"/>
              <w:autoSpaceDE/>
              <w:autoSpaceDN/>
              <w:bidi w:val="0"/>
              <w:adjustRightInd/>
              <w:snapToGrid/>
              <w:ind w:left="0" w:leftChars="0"/>
              <w:jc w:val="center"/>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最佳实践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0" w:type="dxa"/>
            <w:tcBorders>
              <w:top w:val="single" w:color="auto" w:sz="8" w:space="0"/>
              <w:left w:val="nil"/>
              <w:bottom w:val="nil"/>
              <w:right w:val="nil"/>
            </w:tcBorders>
            <w:shd w:val="clear" w:color="auto" w:fill="FFFFFF"/>
          </w:tcPr>
          <w:p>
            <w:pPr>
              <w:keepLines w:val="0"/>
              <w:pageBreakBefore w:val="0"/>
              <w:kinsoku/>
              <w:wordWrap/>
              <w:overflowPunct/>
              <w:topLinePunct w:val="0"/>
              <w:autoSpaceDE/>
              <w:autoSpaceDN/>
              <w:bidi w:val="0"/>
              <w:adjustRightInd/>
              <w:snapToGrid/>
              <w:ind w:left="0" w:leftChars="0"/>
              <w:jc w:val="center"/>
              <w:rPr>
                <w:rFonts w:hint="eastAsia" w:ascii="宋体" w:hAnsi="宋体" w:eastAsia="宋体" w:cs="宋体"/>
                <w:color w:val="000000"/>
                <w:sz w:val="21"/>
                <w:szCs w:val="21"/>
                <w:vertAlign w:val="baseline"/>
                <w:lang w:eastAsia="zh-CN"/>
              </w:rPr>
            </w:pPr>
            <w:r>
              <w:rPr>
                <w:rFonts w:hint="eastAsia" w:ascii="宋体" w:hAnsi="宋体" w:eastAsia="宋体" w:cs="宋体"/>
                <w:sz w:val="21"/>
                <w:szCs w:val="21"/>
              </w:rPr>
              <w:t>程控率</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PCR</w:t>
            </w:r>
            <w:r>
              <w:rPr>
                <w:rFonts w:hint="eastAsia" w:ascii="宋体" w:hAnsi="宋体" w:eastAsia="宋体" w:cs="宋体"/>
                <w:sz w:val="21"/>
                <w:szCs w:val="21"/>
                <w:lang w:eastAsia="zh-CN"/>
              </w:rPr>
              <w:t>）</w:t>
            </w:r>
          </w:p>
        </w:tc>
        <w:tc>
          <w:tcPr>
            <w:tcW w:w="3896" w:type="dxa"/>
            <w:tcBorders>
              <w:top w:val="single" w:color="auto" w:sz="8" w:space="0"/>
              <w:left w:val="nil"/>
              <w:bottom w:val="nil"/>
              <w:right w:val="nil"/>
            </w:tcBorders>
            <w:shd w:val="clear" w:color="auto" w:fill="FFFFFF"/>
          </w:tcPr>
          <w:p>
            <w:pPr>
              <w:keepLines w:val="0"/>
              <w:pageBreakBefore w:val="0"/>
              <w:kinsoku/>
              <w:wordWrap/>
              <w:overflowPunct/>
              <w:topLinePunct w:val="0"/>
              <w:autoSpaceDE/>
              <w:autoSpaceDN/>
              <w:bidi w:val="0"/>
              <w:adjustRightInd/>
              <w:snapToGrid/>
              <w:ind w:left="0" w:leftChars="0"/>
              <w:jc w:val="center"/>
              <w:rPr>
                <w:rFonts w:hint="eastAsia" w:ascii="宋体" w:hAnsi="宋体" w:eastAsia="宋体" w:cs="宋体"/>
                <w:color w:val="000000"/>
                <w:sz w:val="21"/>
                <w:szCs w:val="21"/>
                <w:vertAlign w:val="baseline"/>
              </w:rPr>
            </w:pPr>
            <w:r>
              <w:rPr>
                <w:rFonts w:hint="eastAsia" w:ascii="宋体" w:hAnsi="宋体" w:eastAsia="宋体" w:cs="宋体"/>
                <w:color w:val="000000"/>
                <w:sz w:val="21"/>
                <w:szCs w:val="21"/>
                <w:vertAlign w:val="baseline"/>
              </w:rPr>
              <w:t>全厂所有的设备控制指令中，由程序自动发出的指令比例，表征一个自动化系统中非人为干预或主动控制的频率。</w:t>
            </w:r>
          </w:p>
        </w:tc>
        <w:tc>
          <w:tcPr>
            <w:tcW w:w="3045" w:type="dxa"/>
            <w:tcBorders>
              <w:top w:val="single" w:color="auto" w:sz="8" w:space="0"/>
              <w:left w:val="nil"/>
              <w:bottom w:val="nil"/>
              <w:right w:val="nil"/>
            </w:tcBorders>
            <w:shd w:val="clear" w:color="auto" w:fill="FFFFFF"/>
          </w:tcPr>
          <w:p>
            <w:pPr>
              <w:keepLines w:val="0"/>
              <w:pageBreakBefore w:val="0"/>
              <w:kinsoku/>
              <w:wordWrap/>
              <w:overflowPunct/>
              <w:topLinePunct w:val="0"/>
              <w:autoSpaceDE/>
              <w:autoSpaceDN/>
              <w:bidi w:val="0"/>
              <w:adjustRightInd/>
              <w:snapToGrid/>
              <w:ind w:left="0" w:leftChars="0"/>
              <w:jc w:val="center"/>
              <w:rPr>
                <w:rFonts w:hint="eastAsia" w:ascii="宋体" w:hAnsi="宋体" w:eastAsia="宋体" w:cs="宋体"/>
                <w:color w:val="000000"/>
                <w:sz w:val="21"/>
                <w:szCs w:val="21"/>
                <w:vertAlign w:val="baseline"/>
              </w:rPr>
            </w:pPr>
            <w:r>
              <w:rPr>
                <w:rFonts w:hint="eastAsia" w:ascii="宋体" w:hAnsi="宋体" w:eastAsia="宋体" w:cs="宋体"/>
                <w:sz w:val="21"/>
                <w:szCs w:val="21"/>
                <w:lang w:eastAsia="zh-CN"/>
              </w:rPr>
              <w:t>（</w:t>
            </w:r>
            <w:r>
              <w:rPr>
                <w:rFonts w:hint="eastAsia" w:ascii="宋体" w:hAnsi="宋体" w:eastAsia="宋体" w:cs="宋体"/>
                <w:sz w:val="21"/>
                <w:szCs w:val="21"/>
              </w:rPr>
              <w:t>处于正常且全自动运行的控制回路</w:t>
            </w:r>
            <w:r>
              <w:rPr>
                <w:rFonts w:hint="eastAsia" w:ascii="宋体" w:hAnsi="宋体" w:eastAsia="宋体" w:cs="宋体"/>
                <w:sz w:val="21"/>
                <w:szCs w:val="21"/>
                <w:lang w:val="en-US" w:eastAsia="zh-CN"/>
              </w:rPr>
              <w:t>/</w:t>
            </w:r>
            <w:r>
              <w:rPr>
                <w:rFonts w:hint="eastAsia" w:ascii="宋体" w:hAnsi="宋体" w:eastAsia="宋体" w:cs="宋体"/>
                <w:sz w:val="21"/>
                <w:szCs w:val="21"/>
              </w:rPr>
              <w:t>总控制回路数</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100</w:t>
            </w:r>
            <w:r>
              <w:rPr>
                <w:rFonts w:hint="eastAsia" w:ascii="宋体" w:hAnsi="宋体" w:eastAsia="宋体" w:cs="宋体"/>
                <w:sz w:val="21"/>
                <w:szCs w:val="21"/>
                <w:lang w:eastAsia="zh-CN"/>
              </w:rPr>
              <w:t>，</w:t>
            </w:r>
            <w:r>
              <w:rPr>
                <w:rFonts w:hint="eastAsia" w:ascii="宋体" w:hAnsi="宋体" w:eastAsia="宋体" w:cs="宋体"/>
                <w:sz w:val="21"/>
                <w:szCs w:val="21"/>
              </w:rPr>
              <w:t>单位：%</w:t>
            </w:r>
          </w:p>
        </w:tc>
        <w:tc>
          <w:tcPr>
            <w:tcW w:w="1275" w:type="dxa"/>
            <w:tcBorders>
              <w:top w:val="single" w:color="auto" w:sz="8" w:space="0"/>
              <w:left w:val="nil"/>
              <w:bottom w:val="nil"/>
              <w:right w:val="nil"/>
            </w:tcBorders>
            <w:shd w:val="clear" w:color="auto" w:fill="FFFFFF"/>
          </w:tcPr>
          <w:p>
            <w:pPr>
              <w:keepLines w:val="0"/>
              <w:pageBreakBefore w:val="0"/>
              <w:kinsoku/>
              <w:wordWrap/>
              <w:overflowPunct/>
              <w:topLinePunct w:val="0"/>
              <w:autoSpaceDE/>
              <w:autoSpaceDN/>
              <w:bidi w:val="0"/>
              <w:adjustRightInd/>
              <w:snapToGrid/>
              <w:ind w:left="0" w:leftChars="0"/>
              <w:jc w:val="center"/>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0" w:type="dxa"/>
            <w:tcBorders>
              <w:top w:val="nil"/>
              <w:left w:val="nil"/>
              <w:bottom w:val="nil"/>
              <w:right w:val="nil"/>
            </w:tcBorders>
            <w:shd w:val="clear" w:color="auto" w:fill="FFFFFF"/>
          </w:tcPr>
          <w:p>
            <w:pPr>
              <w:keepLines w:val="0"/>
              <w:pageBreakBefore w:val="0"/>
              <w:kinsoku/>
              <w:wordWrap/>
              <w:overflowPunct/>
              <w:topLinePunct w:val="0"/>
              <w:autoSpaceDE/>
              <w:autoSpaceDN/>
              <w:bidi w:val="0"/>
              <w:adjustRightInd/>
              <w:snapToGrid/>
              <w:ind w:left="0" w:leftChars="0"/>
              <w:jc w:val="center"/>
              <w:rPr>
                <w:rFonts w:hint="default" w:ascii="宋体" w:hAnsi="宋体" w:eastAsia="宋体" w:cs="宋体"/>
                <w:color w:val="000000"/>
                <w:sz w:val="21"/>
                <w:szCs w:val="21"/>
                <w:vertAlign w:val="baseline"/>
                <w:lang w:val="en-US" w:eastAsia="zh-CN"/>
              </w:rPr>
            </w:pPr>
            <w:r>
              <w:rPr>
                <w:rFonts w:hint="eastAsia" w:ascii="宋体" w:hAnsi="宋体" w:eastAsia="宋体" w:cs="宋体"/>
                <w:sz w:val="21"/>
                <w:szCs w:val="21"/>
              </w:rPr>
              <w:t>闭环连续运转率</w:t>
            </w:r>
            <w:r>
              <w:rPr>
                <w:rFonts w:hint="eastAsia" w:ascii="宋体" w:hAnsi="宋体" w:eastAsia="宋体" w:cs="宋体"/>
                <w:sz w:val="21"/>
                <w:szCs w:val="21"/>
                <w:lang w:val="en-US" w:eastAsia="zh-CN"/>
              </w:rPr>
              <w:t>(CRR)</w:t>
            </w:r>
          </w:p>
        </w:tc>
        <w:tc>
          <w:tcPr>
            <w:tcW w:w="3896" w:type="dxa"/>
            <w:tcBorders>
              <w:top w:val="nil"/>
              <w:left w:val="nil"/>
              <w:bottom w:val="nil"/>
              <w:right w:val="nil"/>
            </w:tcBorders>
            <w:shd w:val="clear" w:color="auto" w:fill="FFFFFF"/>
          </w:tcPr>
          <w:p>
            <w:pPr>
              <w:keepLines w:val="0"/>
              <w:pageBreakBefore w:val="0"/>
              <w:kinsoku/>
              <w:wordWrap/>
              <w:overflowPunct/>
              <w:topLinePunct w:val="0"/>
              <w:autoSpaceDE/>
              <w:autoSpaceDN/>
              <w:bidi w:val="0"/>
              <w:adjustRightInd/>
              <w:snapToGrid/>
              <w:ind w:left="0" w:leftChars="0"/>
              <w:jc w:val="center"/>
              <w:rPr>
                <w:rFonts w:hint="eastAsia" w:ascii="宋体" w:hAnsi="宋体" w:eastAsia="宋体" w:cs="宋体"/>
                <w:color w:val="000000"/>
                <w:sz w:val="21"/>
                <w:szCs w:val="21"/>
                <w:vertAlign w:val="baseline"/>
              </w:rPr>
            </w:pPr>
            <w:r>
              <w:rPr>
                <w:rFonts w:hint="eastAsia" w:ascii="宋体" w:hAnsi="宋体" w:eastAsia="宋体" w:cs="宋体"/>
                <w:color w:val="000000"/>
                <w:sz w:val="21"/>
                <w:szCs w:val="21"/>
                <w:vertAlign w:val="baseline"/>
              </w:rPr>
              <w:t>智慧水厂系统正常生产运行后，单个闭环控制系统能够长时间不间断运行的能力指数。</w:t>
            </w:r>
          </w:p>
        </w:tc>
        <w:tc>
          <w:tcPr>
            <w:tcW w:w="3045" w:type="dxa"/>
            <w:tcBorders>
              <w:top w:val="nil"/>
              <w:left w:val="nil"/>
              <w:bottom w:val="nil"/>
              <w:right w:val="nil"/>
            </w:tcBorders>
            <w:shd w:val="clear" w:color="auto" w:fill="FFFFFF"/>
          </w:tcPr>
          <w:p>
            <w:pPr>
              <w:keepLines w:val="0"/>
              <w:pageBreakBefore w:val="0"/>
              <w:kinsoku/>
              <w:wordWrap/>
              <w:overflowPunct/>
              <w:topLinePunct w:val="0"/>
              <w:autoSpaceDE/>
              <w:autoSpaceDN/>
              <w:bidi w:val="0"/>
              <w:adjustRightInd/>
              <w:snapToGrid/>
              <w:ind w:left="0" w:leftChars="0"/>
              <w:jc w:val="center"/>
              <w:rPr>
                <w:rFonts w:hint="eastAsia" w:ascii="宋体" w:hAnsi="宋体" w:eastAsia="宋体" w:cs="宋体"/>
                <w:color w:val="000000"/>
                <w:sz w:val="21"/>
                <w:szCs w:val="21"/>
                <w:vertAlign w:val="baseline"/>
              </w:rPr>
            </w:pPr>
            <w:r>
              <w:rPr>
                <w:rFonts w:hint="eastAsia" w:ascii="宋体" w:hAnsi="宋体" w:eastAsia="宋体" w:cs="宋体"/>
                <w:sz w:val="21"/>
                <w:szCs w:val="21"/>
                <w:lang w:val="en-US" w:eastAsia="zh-CN"/>
              </w:rPr>
              <w:t>【</w:t>
            </w:r>
            <w:r>
              <w:rPr>
                <w:rFonts w:hint="eastAsia" w:ascii="宋体" w:hAnsi="宋体" w:eastAsia="宋体" w:cs="宋体"/>
                <w:sz w:val="21"/>
                <w:szCs w:val="21"/>
              </w:rPr>
              <w:t>(总累计时间-非正常运行时间)/总累计时间</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100</w:t>
            </w:r>
            <w:r>
              <w:rPr>
                <w:rFonts w:hint="eastAsia" w:ascii="宋体" w:hAnsi="宋体" w:eastAsia="宋体" w:cs="宋体"/>
                <w:sz w:val="21"/>
                <w:szCs w:val="21"/>
              </w:rPr>
              <w:t>，单位：%</w:t>
            </w:r>
          </w:p>
        </w:tc>
        <w:tc>
          <w:tcPr>
            <w:tcW w:w="1275" w:type="dxa"/>
            <w:tcBorders>
              <w:top w:val="nil"/>
              <w:left w:val="nil"/>
              <w:bottom w:val="nil"/>
              <w:right w:val="nil"/>
            </w:tcBorders>
            <w:shd w:val="clear" w:color="auto" w:fill="FFFFFF"/>
          </w:tcPr>
          <w:p>
            <w:pPr>
              <w:keepLines w:val="0"/>
              <w:pageBreakBefore w:val="0"/>
              <w:kinsoku/>
              <w:wordWrap/>
              <w:overflowPunct/>
              <w:topLinePunct w:val="0"/>
              <w:autoSpaceDE/>
              <w:autoSpaceDN/>
              <w:bidi w:val="0"/>
              <w:adjustRightInd/>
              <w:snapToGrid/>
              <w:ind w:left="0" w:leftChars="0"/>
              <w:jc w:val="center"/>
              <w:rPr>
                <w:rFonts w:hint="eastAsia" w:ascii="宋体" w:hAnsi="宋体" w:eastAsia="宋体" w:cs="宋体"/>
                <w:color w:val="000000"/>
                <w:sz w:val="21"/>
                <w:szCs w:val="21"/>
                <w:vertAlign w:val="baseline"/>
              </w:rPr>
            </w:pPr>
            <w:r>
              <w:rPr>
                <w:rFonts w:hint="eastAsia" w:ascii="宋体" w:hAnsi="宋体" w:eastAsia="宋体" w:cs="宋体"/>
                <w:color w:val="000000"/>
                <w:sz w:val="21"/>
                <w:szCs w:val="21"/>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0" w:type="dxa"/>
            <w:tcBorders>
              <w:top w:val="nil"/>
              <w:left w:val="nil"/>
              <w:bottom w:val="single" w:color="auto" w:sz="12" w:space="0"/>
              <w:right w:val="nil"/>
            </w:tcBorders>
            <w:shd w:val="clear" w:color="auto" w:fill="FFFFFF"/>
          </w:tcPr>
          <w:p>
            <w:pPr>
              <w:keepLines w:val="0"/>
              <w:pageBreakBefore w:val="0"/>
              <w:kinsoku/>
              <w:wordWrap/>
              <w:overflowPunct/>
              <w:topLinePunct w:val="0"/>
              <w:autoSpaceDE/>
              <w:autoSpaceDN/>
              <w:bidi w:val="0"/>
              <w:adjustRightInd/>
              <w:snapToGrid/>
              <w:ind w:left="0" w:leftChars="0"/>
              <w:jc w:val="center"/>
              <w:rPr>
                <w:rFonts w:hint="default" w:ascii="宋体" w:hAnsi="宋体" w:eastAsia="宋体"/>
                <w:sz w:val="21"/>
                <w:szCs w:val="21"/>
                <w:lang w:val="en-US" w:eastAsia="zh-CN"/>
              </w:rPr>
            </w:pPr>
            <w:r>
              <w:rPr>
                <w:rFonts w:hint="eastAsia" w:ascii="宋体" w:hAnsi="宋体" w:eastAsia="宋体"/>
                <w:sz w:val="21"/>
                <w:szCs w:val="21"/>
              </w:rPr>
              <w:t>控制品质达标率</w:t>
            </w:r>
            <w:r>
              <w:rPr>
                <w:rFonts w:hint="eastAsia" w:ascii="宋体" w:hAnsi="宋体" w:eastAsia="宋体"/>
                <w:sz w:val="21"/>
                <w:szCs w:val="21"/>
                <w:lang w:val="en-US" w:eastAsia="zh-CN"/>
              </w:rPr>
              <w:t>(CQE)</w:t>
            </w:r>
          </w:p>
        </w:tc>
        <w:tc>
          <w:tcPr>
            <w:tcW w:w="3896" w:type="dxa"/>
            <w:tcBorders>
              <w:top w:val="nil"/>
              <w:left w:val="nil"/>
              <w:bottom w:val="single" w:color="auto" w:sz="12" w:space="0"/>
              <w:right w:val="nil"/>
            </w:tcBorders>
            <w:shd w:val="clear" w:color="auto" w:fill="FFFFFF"/>
          </w:tcPr>
          <w:p>
            <w:pPr>
              <w:keepLines w:val="0"/>
              <w:pageBreakBefore w:val="0"/>
              <w:kinsoku/>
              <w:wordWrap/>
              <w:overflowPunct/>
              <w:topLinePunct w:val="0"/>
              <w:autoSpaceDE/>
              <w:autoSpaceDN/>
              <w:bidi w:val="0"/>
              <w:adjustRightInd/>
              <w:snapToGrid/>
              <w:ind w:left="0" w:leftChars="0"/>
              <w:jc w:val="center"/>
              <w:rPr>
                <w:rFonts w:hint="eastAsia" w:ascii="宋体" w:hAnsi="宋体" w:eastAsia="宋体"/>
                <w:sz w:val="21"/>
                <w:szCs w:val="21"/>
              </w:rPr>
            </w:pPr>
            <w:r>
              <w:rPr>
                <w:rFonts w:hint="eastAsia" w:ascii="宋体" w:hAnsi="宋体" w:eastAsia="宋体"/>
                <w:sz w:val="21"/>
                <w:szCs w:val="21"/>
              </w:rPr>
              <w:t>智慧水厂系统正常生产运行后，在闭环控制条件下，衡量其是否达到控制、工艺要求的能力。</w:t>
            </w:r>
          </w:p>
        </w:tc>
        <w:tc>
          <w:tcPr>
            <w:tcW w:w="3045" w:type="dxa"/>
            <w:tcBorders>
              <w:top w:val="nil"/>
              <w:left w:val="nil"/>
              <w:bottom w:val="single" w:color="auto" w:sz="12" w:space="0"/>
              <w:right w:val="nil"/>
            </w:tcBorders>
            <w:shd w:val="clear" w:color="auto" w:fill="FFFFFF"/>
          </w:tcPr>
          <w:p>
            <w:pPr>
              <w:keepLines w:val="0"/>
              <w:pageBreakBefore w:val="0"/>
              <w:kinsoku/>
              <w:wordWrap/>
              <w:overflowPunct/>
              <w:topLinePunct w:val="0"/>
              <w:autoSpaceDE/>
              <w:autoSpaceDN/>
              <w:bidi w:val="0"/>
              <w:adjustRightInd/>
              <w:snapToGrid/>
              <w:ind w:left="0" w:leftChars="0"/>
              <w:jc w:val="center"/>
              <w:rPr>
                <w:rFonts w:hint="eastAsia" w:ascii="宋体" w:hAnsi="宋体" w:eastAsia="宋体"/>
                <w:sz w:val="21"/>
                <w:szCs w:val="21"/>
              </w:rPr>
            </w:pPr>
            <w:r>
              <w:rPr>
                <w:rFonts w:hint="eastAsia" w:ascii="宋体" w:hAnsi="宋体" w:eastAsia="宋体"/>
                <w:sz w:val="21"/>
                <w:szCs w:val="21"/>
                <w:lang w:eastAsia="zh-CN"/>
              </w:rPr>
              <w:t>（</w:t>
            </w:r>
            <w:r>
              <w:rPr>
                <w:rFonts w:hint="eastAsia" w:ascii="宋体" w:hAnsi="宋体" w:eastAsia="宋体"/>
                <w:sz w:val="21"/>
                <w:szCs w:val="21"/>
              </w:rPr>
              <w:t>在误差范围内的采样点数/采样总点数</w:t>
            </w:r>
            <w:r>
              <w:rPr>
                <w:rFonts w:hint="eastAsia" w:ascii="宋体" w:hAnsi="宋体" w:eastAsia="宋体"/>
                <w:sz w:val="21"/>
                <w:szCs w:val="21"/>
                <w:lang w:eastAsia="zh-CN"/>
              </w:rPr>
              <w:t>）×</w:t>
            </w:r>
            <w:r>
              <w:rPr>
                <w:rFonts w:hint="eastAsia" w:ascii="宋体" w:hAnsi="宋体" w:eastAsia="宋体"/>
                <w:sz w:val="21"/>
                <w:szCs w:val="21"/>
                <w:lang w:val="en-US" w:eastAsia="zh-CN"/>
              </w:rPr>
              <w:t>100</w:t>
            </w:r>
            <w:r>
              <w:rPr>
                <w:rFonts w:hint="eastAsia" w:ascii="宋体" w:hAnsi="宋体" w:eastAsia="宋体"/>
                <w:sz w:val="21"/>
                <w:szCs w:val="21"/>
              </w:rPr>
              <w:t>，单位：%</w:t>
            </w:r>
          </w:p>
        </w:tc>
        <w:tc>
          <w:tcPr>
            <w:tcW w:w="1275" w:type="dxa"/>
            <w:tcBorders>
              <w:top w:val="nil"/>
              <w:left w:val="nil"/>
              <w:bottom w:val="single" w:color="auto" w:sz="12" w:space="0"/>
              <w:right w:val="nil"/>
            </w:tcBorders>
            <w:shd w:val="clear" w:color="auto" w:fill="FFFFFF"/>
          </w:tcPr>
          <w:p>
            <w:pPr>
              <w:keepLines w:val="0"/>
              <w:pageBreakBefore w:val="0"/>
              <w:kinsoku/>
              <w:wordWrap/>
              <w:overflowPunct/>
              <w:topLinePunct w:val="0"/>
              <w:autoSpaceDE/>
              <w:autoSpaceDN/>
              <w:bidi w:val="0"/>
              <w:adjustRightInd/>
              <w:snapToGrid/>
              <w:ind w:left="0" w:leftChars="0"/>
              <w:jc w:val="center"/>
              <w:rPr>
                <w:rFonts w:hint="eastAsia" w:ascii="宋体" w:hAnsi="宋体" w:eastAsia="宋体"/>
                <w:sz w:val="21"/>
                <w:szCs w:val="21"/>
              </w:rPr>
            </w:pPr>
            <w:r>
              <w:rPr>
                <w:rFonts w:hint="eastAsia" w:ascii="宋体" w:hAnsi="宋体" w:eastAsia="宋体"/>
                <w:sz w:val="21"/>
                <w:szCs w:val="21"/>
                <w:lang w:val="en-US" w:eastAsia="zh-CN"/>
              </w:rPr>
              <w:t>100%</w:t>
            </w:r>
          </w:p>
        </w:tc>
      </w:tr>
    </w:tbl>
    <w:p>
      <w:pPr>
        <w:pStyle w:val="3"/>
        <w:keepLines w:val="0"/>
        <w:pageBreakBefore w:val="0"/>
        <w:kinsoku/>
        <w:wordWrap/>
        <w:overflowPunct/>
        <w:topLinePunct w:val="0"/>
        <w:autoSpaceDE/>
        <w:autoSpaceDN/>
        <w:bidi w:val="0"/>
        <w:adjustRightInd/>
        <w:snapToGrid/>
        <w:spacing w:before="0" w:after="0"/>
        <w:ind w:left="0" w:leftChars="0"/>
        <w:rPr>
          <w:rFonts w:hint="default"/>
          <w:lang w:val="en-US" w:eastAsia="zh-CN"/>
        </w:rPr>
      </w:pPr>
      <w:r>
        <w:rPr>
          <w:rFonts w:hint="eastAsia"/>
          <w:lang w:val="en-US" w:eastAsia="zh-CN"/>
        </w:rPr>
        <w:t>自控系统全流程的自动化运行</w:t>
      </w:r>
    </w:p>
    <w:p>
      <w:pPr>
        <w:pStyle w:val="42"/>
        <w:keepNext w:val="0"/>
        <w:keepLines w:val="0"/>
        <w:pageBreakBefore w:val="0"/>
        <w:widowControl/>
        <w:kinsoku/>
        <w:wordWrap/>
        <w:overflowPunct/>
        <w:topLinePunct w:val="0"/>
        <w:autoSpaceDE/>
        <w:autoSpaceDN/>
        <w:bidi w:val="0"/>
        <w:adjustRightInd/>
        <w:snapToGrid/>
        <w:ind w:left="0" w:leftChars="0" w:firstLine="420" w:firstLineChars="200"/>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三亚市荔枝沟水质净化厂通过提高系统程控率、闭环连续运转率和控制品质达标率来实现厂内自控系统全流程的自动化运行。具体方式如下：</w:t>
      </w:r>
    </w:p>
    <w:p>
      <w:pPr>
        <w:pStyle w:val="42"/>
        <w:keepNext w:val="0"/>
        <w:keepLines w:val="0"/>
        <w:pageBreakBefore w:val="0"/>
        <w:widowControl/>
        <w:numPr>
          <w:ilvl w:val="0"/>
          <w:numId w:val="2"/>
        </w:numPr>
        <w:kinsoku/>
        <w:wordWrap/>
        <w:overflowPunct/>
        <w:topLinePunct w:val="0"/>
        <w:autoSpaceDE/>
        <w:autoSpaceDN/>
        <w:bidi w:val="0"/>
        <w:adjustRightInd/>
        <w:snapToGrid/>
        <w:ind w:left="0" w:leftChars="0" w:firstLine="420" w:firstLineChars="20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通过实现闭环控制，提高系统程控率：通过对各控制工艺段配置各种预案和解决策略针对性解决问题，使系统响应更加科学化、及时化，实现真正闭环控制。</w:t>
      </w:r>
    </w:p>
    <w:p>
      <w:pPr>
        <w:pStyle w:val="42"/>
        <w:keepNext w:val="0"/>
        <w:keepLines w:val="0"/>
        <w:pageBreakBefore w:val="0"/>
        <w:widowControl/>
        <w:numPr>
          <w:ilvl w:val="0"/>
          <w:numId w:val="2"/>
        </w:numPr>
        <w:kinsoku/>
        <w:wordWrap/>
        <w:overflowPunct/>
        <w:topLinePunct w:val="0"/>
        <w:autoSpaceDE/>
        <w:autoSpaceDN/>
        <w:bidi w:val="0"/>
        <w:adjustRightInd/>
        <w:snapToGrid/>
        <w:ind w:left="0" w:leftChars="0" w:firstLine="420" w:firstLineChars="20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通过增强系统自诊断能力，提高闭环连续运转率：通过对现有的控制系统进行各工艺段的技术改造（如：PLC程序和SCADA程序的自诊断能力的优化和提升、</w:t>
      </w:r>
      <w:r>
        <w:rPr>
          <w:rFonts w:hint="eastAsia" w:ascii="宋体" w:hAnsi="宋体" w:cs="宋体"/>
          <w:sz w:val="21"/>
          <w:szCs w:val="21"/>
          <w:vertAlign w:val="baseline"/>
          <w:lang w:val="en-US" w:eastAsia="zh-CN"/>
        </w:rPr>
        <w:t>智慧运营管理系统</w:t>
      </w:r>
      <w:r>
        <w:rPr>
          <w:rFonts w:hint="eastAsia" w:ascii="宋体" w:hAnsi="宋体" w:eastAsia="宋体" w:cs="宋体"/>
          <w:sz w:val="21"/>
          <w:szCs w:val="21"/>
          <w:vertAlign w:val="baseline"/>
          <w:lang w:val="en-US" w:eastAsia="zh-CN"/>
        </w:rPr>
        <w:t>实施等）实现在故障发生前及时预警、预防；故障后发生能自动定位设备故障点，</w:t>
      </w:r>
      <w:r>
        <w:rPr>
          <w:rFonts w:hint="eastAsia" w:ascii="宋体" w:hAnsi="宋体" w:cs="宋体"/>
          <w:sz w:val="21"/>
          <w:szCs w:val="21"/>
          <w:vertAlign w:val="baseline"/>
          <w:lang w:val="en-US" w:eastAsia="zh-CN"/>
        </w:rPr>
        <w:t>通过移动化手段</w:t>
      </w:r>
      <w:r>
        <w:rPr>
          <w:rFonts w:hint="eastAsia" w:ascii="宋体" w:hAnsi="宋体" w:eastAsia="宋体" w:cs="宋体"/>
          <w:sz w:val="21"/>
          <w:szCs w:val="21"/>
          <w:vertAlign w:val="baseline"/>
          <w:lang w:val="en-US" w:eastAsia="zh-CN"/>
        </w:rPr>
        <w:t>缩短系统的维修、恢复时间。</w:t>
      </w:r>
    </w:p>
    <w:p>
      <w:pPr>
        <w:pStyle w:val="42"/>
        <w:keepNext w:val="0"/>
        <w:keepLines w:val="0"/>
        <w:pageBreakBefore w:val="0"/>
        <w:widowControl/>
        <w:numPr>
          <w:ilvl w:val="0"/>
          <w:numId w:val="2"/>
        </w:numPr>
        <w:kinsoku/>
        <w:wordWrap/>
        <w:overflowPunct/>
        <w:topLinePunct w:val="0"/>
        <w:autoSpaceDE/>
        <w:autoSpaceDN/>
        <w:bidi w:val="0"/>
        <w:adjustRightInd/>
        <w:snapToGrid/>
        <w:ind w:left="0" w:leftChars="0" w:firstLine="420" w:firstLineChars="20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通过各工艺段优化控制策略，提高控制品质达标率：在自动化控制系统基础上部署能够处理复杂算法和业务逻辑的智能化控制模块，为水厂提供较为全面的逻辑冗余控制策略、精细化的控制方案，在满足出水水质达标的基础上，优化运行参数。</w:t>
      </w:r>
    </w:p>
    <w:p>
      <w:pPr>
        <w:pStyle w:val="42"/>
        <w:keepNext w:val="0"/>
        <w:keepLines w:val="0"/>
        <w:pageBreakBefore w:val="0"/>
        <w:widowControl/>
        <w:kinsoku/>
        <w:wordWrap/>
        <w:overflowPunct/>
        <w:topLinePunct w:val="0"/>
        <w:autoSpaceDE/>
        <w:autoSpaceDN/>
        <w:bidi w:val="0"/>
        <w:adjustRightInd/>
        <w:snapToGrid/>
        <w:ind w:left="0" w:leftChars="0" w:firstLine="420" w:firstLineChars="20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三亚市荔枝沟水质净化厂自控系统升级改造后效果如下：</w:t>
      </w:r>
    </w:p>
    <w:p>
      <w:pPr>
        <w:pStyle w:val="42"/>
        <w:keepLines w:val="0"/>
        <w:pageBreakBefore w:val="0"/>
        <w:numPr>
          <w:ilvl w:val="0"/>
          <w:numId w:val="0"/>
        </w:numPr>
        <w:kinsoku/>
        <w:wordWrap/>
        <w:overflowPunct/>
        <w:topLinePunct w:val="0"/>
        <w:autoSpaceDE/>
        <w:autoSpaceDN/>
        <w:bidi w:val="0"/>
        <w:adjustRightInd/>
        <w:snapToGrid/>
        <w:ind w:left="0" w:leftChars="0"/>
        <w:jc w:val="center"/>
        <w:rPr>
          <w:rFonts w:hint="default"/>
          <w:sz w:val="24"/>
          <w:szCs w:val="20"/>
          <w:highlight w:val="none"/>
          <w:lang w:val="en-US"/>
        </w:rPr>
      </w:pPr>
      <w:r>
        <w:drawing>
          <wp:inline distT="0" distB="0" distL="114300" distR="114300">
            <wp:extent cx="5620385" cy="3159760"/>
            <wp:effectExtent l="0" t="0" r="18415" b="254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620385" cy="3159760"/>
                    </a:xfrm>
                    <a:prstGeom prst="rect">
                      <a:avLst/>
                    </a:prstGeom>
                  </pic:spPr>
                </pic:pic>
              </a:graphicData>
            </a:graphic>
          </wp:inline>
        </w:drawing>
      </w:r>
    </w:p>
    <w:p>
      <w:pPr>
        <w:pStyle w:val="2"/>
        <w:keepNext/>
        <w:keepLines w:val="0"/>
        <w:pageBreakBefore w:val="0"/>
        <w:widowControl/>
        <w:kinsoku/>
        <w:wordWrap/>
        <w:overflowPunct/>
        <w:topLinePunct w:val="0"/>
        <w:autoSpaceDE/>
        <w:autoSpaceDN/>
        <w:bidi w:val="0"/>
        <w:adjustRightInd/>
        <w:snapToGrid/>
        <w:spacing w:before="0" w:after="0"/>
        <w:ind w:left="0" w:leftChars="0" w:firstLine="0"/>
        <w:textAlignment w:val="auto"/>
        <w:rPr>
          <w:rFonts w:hint="eastAsia" w:ascii="Arial" w:hAnsi="Arial"/>
          <w:lang w:val="en-US" w:eastAsia="zh-CN"/>
        </w:rPr>
      </w:pPr>
      <w:r>
        <w:rPr>
          <w:rFonts w:hint="eastAsia" w:ascii="Arial" w:hAnsi="Arial"/>
          <w:lang w:val="en-US" w:eastAsia="zh-CN"/>
        </w:rPr>
        <w:t>核心工艺的智能化控制</w:t>
      </w:r>
    </w:p>
    <w:p>
      <w:pPr>
        <w:pStyle w:val="42"/>
        <w:keepNext w:val="0"/>
        <w:keepLines w:val="0"/>
        <w:pageBreakBefore w:val="0"/>
        <w:widowControl/>
        <w:kinsoku/>
        <w:wordWrap/>
        <w:overflowPunct/>
        <w:topLinePunct w:val="0"/>
        <w:autoSpaceDE/>
        <w:autoSpaceDN/>
        <w:bidi w:val="0"/>
        <w:adjustRightInd/>
        <w:snapToGrid/>
        <w:ind w:left="0" w:leftChars="0" w:firstLine="420" w:firstLineChars="200"/>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三亚市荔枝沟水质净化厂污水处理采用改良AAO+深床滤池工艺，曝气和加药是该工艺的核心环节，所以曝气和加药的精确化、智能化控制对水质净化厂的生产至关重要。三亚市荔枝沟水质净化厂通过实施污水处理工艺优化与高级控制系统、精确曝气流量控制系统和加药除磷智能控制系统实现了曝气量和药剂投加量的精确控制，在保障出水水质达标基础上降低能耗和药耗。</w:t>
      </w:r>
    </w:p>
    <w:p>
      <w:pPr>
        <w:pStyle w:val="3"/>
        <w:keepLines w:val="0"/>
        <w:pageBreakBefore w:val="0"/>
        <w:kinsoku/>
        <w:wordWrap/>
        <w:overflowPunct/>
        <w:topLinePunct w:val="0"/>
        <w:autoSpaceDE/>
        <w:autoSpaceDN/>
        <w:bidi w:val="0"/>
        <w:adjustRightInd/>
        <w:snapToGrid/>
        <w:spacing w:before="0" w:after="0"/>
        <w:ind w:left="0" w:leftChars="0"/>
      </w:pPr>
      <w:r>
        <w:t>污水处理工艺优化与高级控制系统</w:t>
      </w:r>
    </w:p>
    <w:p>
      <w:pPr>
        <w:pStyle w:val="42"/>
        <w:keepNext w:val="0"/>
        <w:keepLines w:val="0"/>
        <w:pageBreakBefore w:val="0"/>
        <w:widowControl/>
        <w:kinsoku/>
        <w:wordWrap/>
        <w:overflowPunct/>
        <w:topLinePunct w:val="0"/>
        <w:autoSpaceDE/>
        <w:autoSpaceDN/>
        <w:bidi w:val="0"/>
        <w:adjustRightInd/>
        <w:snapToGrid/>
        <w:ind w:left="0" w:leftChars="0" w:firstLine="420" w:firstLineChars="20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污水处理工艺优化与高级控制系统（简称：ProSee）可以对不同运行条件和配置参数下的工艺运行进行仿真预测，利用寻优算法计算出最优的曝气量和加药量的组合，为核心工艺的智能化控制提供决策依据。</w:t>
      </w:r>
    </w:p>
    <w:p>
      <w:pPr>
        <w:pStyle w:val="42"/>
        <w:keepNext w:val="0"/>
        <w:keepLines w:val="0"/>
        <w:pageBreakBefore w:val="0"/>
        <w:widowControl/>
        <w:kinsoku/>
        <w:wordWrap/>
        <w:overflowPunct/>
        <w:topLinePunct w:val="0"/>
        <w:autoSpaceDE/>
        <w:autoSpaceDN/>
        <w:bidi w:val="0"/>
        <w:adjustRightInd/>
        <w:snapToGrid/>
        <w:ind w:left="0" w:leftChars="0" w:firstLine="420" w:firstLineChars="20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ProSee系统以国际水协IWA的活性污泥模型ASM2D为基础，对三亚市荔枝沟水质净化厂生物处理工艺、水质水量条件以及出水标准等进行数学建模，通过全厂自控系统、在线监测仪表收集进水的实时水质水量负荷变化及生物池实时数据，以及必要的化验室、历史记录等数据库资料，作为模型的输入参数，对三亚市荔枝沟水质净化厂的各种运行状况加以仿真，在此基础上为工艺运行提供经过优化的关键运行参数。在这些运行参数下最终实现水质达标和节能降耗的平衡。</w:t>
      </w:r>
    </w:p>
    <w:p>
      <w:pPr>
        <w:pStyle w:val="42"/>
        <w:keepNext w:val="0"/>
        <w:keepLines w:val="0"/>
        <w:pageBreakBefore w:val="0"/>
        <w:widowControl/>
        <w:kinsoku/>
        <w:wordWrap/>
        <w:overflowPunct/>
        <w:topLinePunct w:val="0"/>
        <w:autoSpaceDE/>
        <w:autoSpaceDN/>
        <w:bidi w:val="0"/>
        <w:adjustRightInd/>
        <w:snapToGrid/>
        <w:ind w:left="0" w:leftChars="0" w:firstLine="420" w:firstLineChars="20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ProSee系统根据三亚市荔枝沟水质净化厂实际情况配置生化池的构筑物信息、进水条件和运行参数等数据，然后在此基础上进行活性污泥模型的仿真，重现三亚市荔枝沟水质净化厂的真实运行情况。如图所示：</w:t>
      </w:r>
    </w:p>
    <w:p>
      <w:pPr>
        <w:keepLines w:val="0"/>
        <w:pageBreakBefore w:val="0"/>
        <w:kinsoku/>
        <w:wordWrap/>
        <w:overflowPunct/>
        <w:topLinePunct w:val="0"/>
        <w:autoSpaceDE/>
        <w:autoSpaceDN/>
        <w:bidi w:val="0"/>
        <w:adjustRightInd/>
        <w:snapToGrid/>
        <w:spacing w:line="360" w:lineRule="auto"/>
        <w:ind w:left="0" w:leftChars="0" w:firstLine="420" w:firstLineChars="200"/>
        <w:jc w:val="center"/>
        <w:rPr>
          <w:rFonts w:ascii="Arial" w:hAnsi="Arial" w:cs="Arial"/>
          <w:szCs w:val="21"/>
        </w:rPr>
      </w:pPr>
      <w:r>
        <w:drawing>
          <wp:inline distT="0" distB="0" distL="114300" distR="114300">
            <wp:extent cx="4187190" cy="3245485"/>
            <wp:effectExtent l="0" t="0" r="3810" b="1206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7"/>
                    <a:stretch>
                      <a:fillRect/>
                    </a:stretch>
                  </pic:blipFill>
                  <pic:spPr>
                    <a:xfrm>
                      <a:off x="0" y="0"/>
                      <a:ext cx="4187190" cy="3245485"/>
                    </a:xfrm>
                    <a:prstGeom prst="rect">
                      <a:avLst/>
                    </a:prstGeom>
                    <a:noFill/>
                    <a:ln>
                      <a:noFill/>
                    </a:ln>
                  </pic:spPr>
                </pic:pic>
              </a:graphicData>
            </a:graphic>
          </wp:inline>
        </w:drawing>
      </w:r>
    </w:p>
    <w:p>
      <w:pPr>
        <w:pStyle w:val="42"/>
        <w:keepNext w:val="0"/>
        <w:keepLines w:val="0"/>
        <w:pageBreakBefore w:val="0"/>
        <w:widowControl/>
        <w:kinsoku/>
        <w:wordWrap/>
        <w:overflowPunct/>
        <w:topLinePunct w:val="0"/>
        <w:autoSpaceDE/>
        <w:autoSpaceDN/>
        <w:bidi w:val="0"/>
        <w:adjustRightInd/>
        <w:snapToGrid/>
        <w:ind w:left="0" w:leftChars="0" w:firstLine="420" w:firstLineChars="200"/>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ProSee可以根据</w:t>
      </w:r>
      <w:r>
        <w:rPr>
          <w:rFonts w:hint="eastAsia" w:ascii="宋体" w:hAnsi="宋体" w:cs="宋体"/>
          <w:sz w:val="21"/>
          <w:szCs w:val="21"/>
          <w:vertAlign w:val="baseline"/>
          <w:lang w:val="en-US" w:eastAsia="zh-CN"/>
        </w:rPr>
        <w:t>水质净化厂</w:t>
      </w:r>
      <w:r>
        <w:rPr>
          <w:rFonts w:hint="eastAsia" w:ascii="宋体" w:hAnsi="宋体" w:eastAsia="宋体" w:cs="宋体"/>
          <w:sz w:val="21"/>
          <w:szCs w:val="21"/>
          <w:vertAlign w:val="baseline"/>
          <w:lang w:val="en-US" w:eastAsia="zh-CN"/>
        </w:rPr>
        <w:t>进水流量和进水污染物浓度实时计算出溶解氧、氨氮、硝态氮、磷和MLSS等多项指标的浓度在生物池内的沿程分布，如图所示：</w:t>
      </w:r>
    </w:p>
    <w:p>
      <w:pPr>
        <w:keepLines w:val="0"/>
        <w:pageBreakBefore w:val="0"/>
        <w:kinsoku/>
        <w:wordWrap/>
        <w:overflowPunct/>
        <w:topLinePunct w:val="0"/>
        <w:autoSpaceDE/>
        <w:autoSpaceDN/>
        <w:bidi w:val="0"/>
        <w:adjustRightInd/>
        <w:snapToGrid/>
        <w:spacing w:line="360" w:lineRule="auto"/>
        <w:ind w:left="0" w:leftChars="0" w:firstLine="420" w:firstLineChars="200"/>
        <w:rPr>
          <w:rFonts w:ascii="Arial" w:hAnsi="Arial" w:cs="Arial"/>
          <w:szCs w:val="21"/>
        </w:rPr>
      </w:pPr>
      <w:r>
        <w:drawing>
          <wp:inline distT="0" distB="0" distL="114300" distR="114300">
            <wp:extent cx="6040755" cy="3816985"/>
            <wp:effectExtent l="0" t="0" r="17145" b="1206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8"/>
                    <a:stretch>
                      <a:fillRect/>
                    </a:stretch>
                  </pic:blipFill>
                  <pic:spPr>
                    <a:xfrm>
                      <a:off x="0" y="0"/>
                      <a:ext cx="6040755" cy="3816985"/>
                    </a:xfrm>
                    <a:prstGeom prst="rect">
                      <a:avLst/>
                    </a:prstGeom>
                    <a:noFill/>
                    <a:ln>
                      <a:noFill/>
                    </a:ln>
                  </pic:spPr>
                </pic:pic>
              </a:graphicData>
            </a:graphic>
          </wp:inline>
        </w:drawing>
      </w:r>
    </w:p>
    <w:p>
      <w:pPr>
        <w:pStyle w:val="42"/>
        <w:keepNext w:val="0"/>
        <w:keepLines w:val="0"/>
        <w:pageBreakBefore w:val="0"/>
        <w:widowControl/>
        <w:kinsoku/>
        <w:wordWrap/>
        <w:overflowPunct/>
        <w:topLinePunct w:val="0"/>
        <w:autoSpaceDE/>
        <w:autoSpaceDN/>
        <w:bidi w:val="0"/>
        <w:adjustRightInd/>
        <w:snapToGrid/>
        <w:ind w:left="0" w:leftChars="0" w:firstLine="420" w:firstLineChars="200"/>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结合三亚市荔枝沟水质净化厂的实际情况，ProSee可以提供各大耗能设备的能耗情况指标（如鼓风机、提升泵、污泥处置设施等），同时能提供累积处理水量、当量COD削减量、氮、磷等重要污染物的削减量和污泥产量，从而计算出处理单方水或削减单位污染物的能耗，直观展示能耗情况。如图所示：</w:t>
      </w:r>
    </w:p>
    <w:p>
      <w:pPr>
        <w:pStyle w:val="42"/>
        <w:keepLines w:val="0"/>
        <w:pageBreakBefore w:val="0"/>
        <w:kinsoku/>
        <w:wordWrap/>
        <w:overflowPunct/>
        <w:topLinePunct w:val="0"/>
        <w:autoSpaceDE/>
        <w:autoSpaceDN/>
        <w:bidi w:val="0"/>
        <w:adjustRightInd/>
        <w:snapToGrid/>
        <w:ind w:left="0" w:leftChars="0"/>
        <w:jc w:val="center"/>
      </w:pPr>
    </w:p>
    <w:p>
      <w:pPr>
        <w:pStyle w:val="42"/>
        <w:keepLines w:val="0"/>
        <w:pageBreakBefore w:val="0"/>
        <w:kinsoku/>
        <w:wordWrap/>
        <w:overflowPunct/>
        <w:topLinePunct w:val="0"/>
        <w:autoSpaceDE/>
        <w:autoSpaceDN/>
        <w:bidi w:val="0"/>
        <w:adjustRightInd/>
        <w:snapToGrid/>
        <w:ind w:left="0" w:leftChars="0"/>
        <w:jc w:val="center"/>
        <w:rPr>
          <w:rFonts w:hint="eastAsia"/>
          <w:lang w:val="en-US" w:eastAsia="zh-CN"/>
        </w:rPr>
      </w:pPr>
      <w:r>
        <w:drawing>
          <wp:inline distT="0" distB="0" distL="114300" distR="114300">
            <wp:extent cx="6116320" cy="3354070"/>
            <wp:effectExtent l="0" t="0" r="17780" b="177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6116320" cy="3354070"/>
                    </a:xfrm>
                    <a:prstGeom prst="rect">
                      <a:avLst/>
                    </a:prstGeom>
                    <a:noFill/>
                    <a:ln>
                      <a:noFill/>
                    </a:ln>
                  </pic:spPr>
                </pic:pic>
              </a:graphicData>
            </a:graphic>
          </wp:inline>
        </w:drawing>
      </w:r>
    </w:p>
    <w:p>
      <w:pPr>
        <w:pStyle w:val="3"/>
        <w:keepLines w:val="0"/>
        <w:pageBreakBefore w:val="0"/>
        <w:kinsoku/>
        <w:wordWrap/>
        <w:overflowPunct/>
        <w:topLinePunct w:val="0"/>
        <w:autoSpaceDE/>
        <w:autoSpaceDN/>
        <w:bidi w:val="0"/>
        <w:adjustRightInd/>
        <w:snapToGrid/>
        <w:spacing w:before="0" w:after="0"/>
        <w:ind w:left="0" w:leftChars="0"/>
      </w:pPr>
      <w:r>
        <w:t>精确曝气流量控制系统</w:t>
      </w:r>
    </w:p>
    <w:p>
      <w:pPr>
        <w:pStyle w:val="42"/>
        <w:keepNext w:val="0"/>
        <w:keepLines w:val="0"/>
        <w:pageBreakBefore w:val="0"/>
        <w:widowControl/>
        <w:kinsoku/>
        <w:wordWrap/>
        <w:overflowPunct/>
        <w:topLinePunct w:val="0"/>
        <w:autoSpaceDE/>
        <w:autoSpaceDN/>
        <w:bidi w:val="0"/>
        <w:adjustRightInd/>
        <w:snapToGrid/>
        <w:ind w:left="0" w:leftChars="0" w:firstLine="420" w:firstLineChars="20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精确曝气流量控制系统（以下简称：AVS)是一个集成的控制系统，依据ProSee系统实时计算出生化池内的需气量，以气体流量作为主控制信号，溶解氧作为辅助控制信号，对鼓风机组和电动空气调节阀进行优化调节控制，按需分配各曝气控制区域的供气量，实现精细化控制曝气池内的溶解氧，从而极大地提高了工艺运行的稳定性和出水水质的稳定性。</w:t>
      </w:r>
    </w:p>
    <w:p>
      <w:pPr>
        <w:pStyle w:val="42"/>
        <w:keepNext w:val="0"/>
        <w:keepLines w:val="0"/>
        <w:pageBreakBefore w:val="0"/>
        <w:widowControl/>
        <w:kinsoku/>
        <w:wordWrap/>
        <w:overflowPunct/>
        <w:topLinePunct w:val="0"/>
        <w:autoSpaceDE/>
        <w:autoSpaceDN/>
        <w:bidi w:val="0"/>
        <w:adjustRightInd/>
        <w:snapToGrid/>
        <w:ind w:left="0" w:leftChars="0" w:firstLine="420" w:firstLineChars="20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AVS首先接入水质净化厂的进水流量、COD、氨氮（可选）、硝酸盐氮（可选）等前馈信号，以及从现场每个受控曝气单元采集到的DO、水温、MLSS、液位等反馈信号，经数据处理模块对数据进行预处理后，生物需气量计算模块根据处理后前馈、反馈信号，计算出各个溶解氧控制区的需气量及总需气量。并将总气量信号发送至鼓风机主控柜MCP，利用鼓风机控制模块，自动控制鼓风机的启停、导叶的开度或变频器的频率，从而调节鼓风机的输出气量。同时，对于各个溶解氧控制区而言，AVS还包含的气量分配模块，可通过电动阀门的调节，将气量分配至各个溶解氧控制区。AVS就地阀门配气系统的核心思想是基于具有专利技术的多阀门最优开度控制策略，能够在通过调节阀门开度调节单个曝气控制区的气量时抑制该曝气控制区调节对其它控制区的扰动，实现曝气量在不同曝气控制单元的快速、精确配气。三亚市荔枝沟水质净化厂四组生化池AVS的运行</w:t>
      </w:r>
      <w:r>
        <w:rPr>
          <w:rFonts w:hint="eastAsia" w:ascii="宋体" w:hAnsi="宋体" w:cs="宋体"/>
          <w:sz w:val="21"/>
          <w:szCs w:val="21"/>
          <w:vertAlign w:val="baseline"/>
          <w:lang w:val="en-US" w:eastAsia="zh-CN"/>
        </w:rPr>
        <w:t>情况</w:t>
      </w:r>
      <w:r>
        <w:rPr>
          <w:rFonts w:hint="eastAsia" w:ascii="宋体" w:hAnsi="宋体" w:eastAsia="宋体" w:cs="宋体"/>
          <w:sz w:val="21"/>
          <w:szCs w:val="21"/>
          <w:vertAlign w:val="baseline"/>
          <w:lang w:val="en-US" w:eastAsia="zh-CN"/>
        </w:rPr>
        <w:t>如图所示：</w:t>
      </w:r>
    </w:p>
    <w:p>
      <w:pPr>
        <w:keepNext w:val="0"/>
        <w:keepLines w:val="0"/>
        <w:pageBreakBefore w:val="0"/>
        <w:widowControl w:val="0"/>
        <w:kinsoku/>
        <w:wordWrap/>
        <w:overflowPunct/>
        <w:topLinePunct w:val="0"/>
        <w:autoSpaceDE/>
        <w:autoSpaceDN/>
        <w:bidi w:val="0"/>
        <w:adjustRightInd/>
        <w:snapToGrid/>
        <w:ind w:left="0" w:leftChars="0" w:firstLine="0"/>
        <w:jc w:val="center"/>
        <w:textAlignment w:val="auto"/>
        <w:rPr>
          <w:rFonts w:hint="default"/>
          <w:lang w:val="en-US" w:eastAsia="zh-CN"/>
        </w:rPr>
      </w:pPr>
      <w:r>
        <w:drawing>
          <wp:inline distT="0" distB="0" distL="114300" distR="114300">
            <wp:extent cx="6089015" cy="3424555"/>
            <wp:effectExtent l="0" t="0" r="6985" b="444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089015" cy="3424555"/>
                    </a:xfrm>
                    <a:prstGeom prst="rect">
                      <a:avLst/>
                    </a:prstGeom>
                  </pic:spPr>
                </pic:pic>
              </a:graphicData>
            </a:graphic>
          </wp:inline>
        </w:drawing>
      </w:r>
    </w:p>
    <w:p>
      <w:pPr>
        <w:pStyle w:val="42"/>
        <w:keepNext w:val="0"/>
        <w:keepLines w:val="0"/>
        <w:pageBreakBefore w:val="0"/>
        <w:widowControl/>
        <w:kinsoku/>
        <w:wordWrap/>
        <w:overflowPunct/>
        <w:topLinePunct w:val="0"/>
        <w:autoSpaceDE/>
        <w:autoSpaceDN/>
        <w:bidi w:val="0"/>
        <w:adjustRightInd/>
        <w:snapToGrid/>
        <w:ind w:left="0" w:leftChars="0" w:firstLine="420" w:firstLineChars="200"/>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AVS内置的鼓风机优化控制模块，在保证需气量的前提下，优化单台鼓风机的运行时间，以使所有鼓风机的运行时间相一致，从而大大提高了鼓风机的使用寿命。另外，AVS的鼓风机优化模块内置防鼓风机喘振设计，使鼓风机一直运行在安全范围内，有效防止鼓风机喘振对鼓风机的影响。AVS鼓风机控制模块如图所示：</w:t>
      </w:r>
    </w:p>
    <w:p>
      <w:pPr>
        <w:keepLines w:val="0"/>
        <w:pageBreakBefore w:val="0"/>
        <w:kinsoku/>
        <w:wordWrap/>
        <w:overflowPunct/>
        <w:topLinePunct w:val="0"/>
        <w:autoSpaceDE/>
        <w:autoSpaceDN/>
        <w:bidi w:val="0"/>
        <w:adjustRightInd/>
        <w:snapToGrid/>
        <w:ind w:left="0" w:leftChars="0" w:firstLine="480"/>
        <w:rPr>
          <w:rFonts w:hint="eastAsia"/>
          <w:lang w:eastAsia="zh-CN"/>
        </w:rPr>
      </w:pPr>
      <w:r>
        <w:drawing>
          <wp:inline distT="0" distB="0" distL="114300" distR="114300">
            <wp:extent cx="6021705" cy="3386455"/>
            <wp:effectExtent l="0" t="0" r="17145" b="444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021705" cy="3386455"/>
                    </a:xfrm>
                    <a:prstGeom prst="rect">
                      <a:avLst/>
                    </a:prstGeom>
                  </pic:spPr>
                </pic:pic>
              </a:graphicData>
            </a:graphic>
          </wp:inline>
        </w:drawing>
      </w:r>
    </w:p>
    <w:p>
      <w:pPr>
        <w:keepLines w:val="0"/>
        <w:pageBreakBefore w:val="0"/>
        <w:kinsoku/>
        <w:wordWrap/>
        <w:overflowPunct/>
        <w:topLinePunct w:val="0"/>
        <w:autoSpaceDE/>
        <w:autoSpaceDN/>
        <w:bidi w:val="0"/>
        <w:adjustRightInd/>
        <w:snapToGrid/>
        <w:ind w:left="0" w:leftChars="0" w:firstLine="480"/>
        <w:rPr>
          <w:rFonts w:hint="eastAsia"/>
        </w:rPr>
      </w:pPr>
    </w:p>
    <w:p>
      <w:pPr>
        <w:pStyle w:val="42"/>
        <w:keepNext w:val="0"/>
        <w:keepLines w:val="0"/>
        <w:pageBreakBefore w:val="0"/>
        <w:widowControl/>
        <w:kinsoku/>
        <w:wordWrap/>
        <w:overflowPunct/>
        <w:topLinePunct w:val="0"/>
        <w:autoSpaceDE/>
        <w:autoSpaceDN/>
        <w:bidi w:val="0"/>
        <w:adjustRightInd/>
        <w:snapToGrid/>
        <w:ind w:left="0" w:leftChars="0" w:firstLine="420" w:firstLineChars="20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三亚市荔枝沟水质净化厂经过一段时间运行测试，验证了AVS</w:t>
      </w:r>
      <w:r>
        <w:rPr>
          <w:rFonts w:hint="eastAsia" w:ascii="宋体" w:hAnsi="宋体" w:cs="宋体"/>
          <w:sz w:val="21"/>
          <w:szCs w:val="21"/>
          <w:vertAlign w:val="baseline"/>
          <w:lang w:val="en-US" w:eastAsia="zh-CN"/>
        </w:rPr>
        <w:t>控制</w:t>
      </w:r>
      <w:r>
        <w:rPr>
          <w:rFonts w:hint="eastAsia" w:ascii="宋体" w:hAnsi="宋体" w:eastAsia="宋体" w:cs="宋体"/>
          <w:sz w:val="21"/>
          <w:szCs w:val="21"/>
          <w:vertAlign w:val="baseline"/>
          <w:lang w:val="en-US" w:eastAsia="zh-CN"/>
        </w:rPr>
        <w:t>的精确性和稳定性，于是于2020年11月份正式启用AVS来完成四组生化池曝气的自动化控制。下图为使用AVS前1号生化池9月份-10月份溶解氧（DO）的曲线图：</w:t>
      </w:r>
    </w:p>
    <w:p>
      <w:pPr>
        <w:keepLines w:val="0"/>
        <w:pageBreakBefore w:val="0"/>
        <w:kinsoku/>
        <w:wordWrap/>
        <w:overflowPunct/>
        <w:topLinePunct w:val="0"/>
        <w:autoSpaceDE/>
        <w:autoSpaceDN/>
        <w:bidi w:val="0"/>
        <w:adjustRightInd/>
        <w:snapToGrid/>
        <w:ind w:left="0" w:leftChars="0" w:firstLine="480"/>
        <w:rPr>
          <w:rFonts w:hint="default"/>
          <w:lang w:val="en-US" w:eastAsia="zh-CN"/>
        </w:rPr>
      </w:pPr>
      <w:r>
        <w:drawing>
          <wp:inline distT="0" distB="0" distL="114300" distR="114300">
            <wp:extent cx="6112510" cy="2712720"/>
            <wp:effectExtent l="0" t="0" r="2540" b="1143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2"/>
                    <a:stretch>
                      <a:fillRect/>
                    </a:stretch>
                  </pic:blipFill>
                  <pic:spPr>
                    <a:xfrm>
                      <a:off x="0" y="0"/>
                      <a:ext cx="6112510" cy="2712720"/>
                    </a:xfrm>
                    <a:prstGeom prst="rect">
                      <a:avLst/>
                    </a:prstGeom>
                    <a:noFill/>
                    <a:ln>
                      <a:noFill/>
                    </a:ln>
                  </pic:spPr>
                </pic:pic>
              </a:graphicData>
            </a:graphic>
          </wp:inline>
        </w:drawing>
      </w:r>
    </w:p>
    <w:p>
      <w:pPr>
        <w:pStyle w:val="42"/>
        <w:keepNext w:val="0"/>
        <w:keepLines w:val="0"/>
        <w:pageBreakBefore w:val="0"/>
        <w:widowControl/>
        <w:kinsoku/>
        <w:wordWrap/>
        <w:overflowPunct/>
        <w:topLinePunct w:val="0"/>
        <w:autoSpaceDE/>
        <w:autoSpaceDN/>
        <w:bidi w:val="0"/>
        <w:adjustRightInd/>
        <w:snapToGrid/>
        <w:ind w:left="0" w:leftChars="0" w:firstLine="420" w:firstLineChars="20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1号生化池使用AVS后11月份溶解氧（DO）的曲线图如下：</w:t>
      </w:r>
    </w:p>
    <w:p>
      <w:pPr>
        <w:keepLines w:val="0"/>
        <w:pageBreakBefore w:val="0"/>
        <w:kinsoku/>
        <w:wordWrap/>
        <w:overflowPunct/>
        <w:topLinePunct w:val="0"/>
        <w:autoSpaceDE/>
        <w:autoSpaceDN/>
        <w:bidi w:val="0"/>
        <w:adjustRightInd/>
        <w:snapToGrid/>
        <w:ind w:left="0" w:leftChars="0"/>
        <w:rPr>
          <w:rFonts w:hint="default"/>
          <w:lang w:val="en-US" w:eastAsia="zh-CN"/>
        </w:rPr>
      </w:pPr>
    </w:p>
    <w:p>
      <w:pPr>
        <w:keepLines w:val="0"/>
        <w:pageBreakBefore w:val="0"/>
        <w:kinsoku/>
        <w:wordWrap/>
        <w:overflowPunct/>
        <w:topLinePunct w:val="0"/>
        <w:autoSpaceDE/>
        <w:autoSpaceDN/>
        <w:bidi w:val="0"/>
        <w:adjustRightInd/>
        <w:snapToGrid/>
        <w:ind w:left="0" w:leftChars="0" w:firstLine="480"/>
      </w:pPr>
      <w:r>
        <w:drawing>
          <wp:inline distT="0" distB="0" distL="114300" distR="114300">
            <wp:extent cx="6110605" cy="2764155"/>
            <wp:effectExtent l="0" t="0" r="4445" b="1714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3"/>
                    <a:stretch>
                      <a:fillRect/>
                    </a:stretch>
                  </pic:blipFill>
                  <pic:spPr>
                    <a:xfrm>
                      <a:off x="0" y="0"/>
                      <a:ext cx="6110605" cy="2764155"/>
                    </a:xfrm>
                    <a:prstGeom prst="rect">
                      <a:avLst/>
                    </a:prstGeom>
                    <a:noFill/>
                    <a:ln>
                      <a:noFill/>
                    </a:ln>
                  </pic:spPr>
                </pic:pic>
              </a:graphicData>
            </a:graphic>
          </wp:inline>
        </w:drawing>
      </w:r>
    </w:p>
    <w:p>
      <w:pPr>
        <w:pStyle w:val="42"/>
        <w:keepNext w:val="0"/>
        <w:keepLines w:val="0"/>
        <w:pageBreakBefore w:val="0"/>
        <w:widowControl/>
        <w:kinsoku/>
        <w:wordWrap/>
        <w:overflowPunct/>
        <w:topLinePunct w:val="0"/>
        <w:autoSpaceDE/>
        <w:autoSpaceDN/>
        <w:bidi w:val="0"/>
        <w:adjustRightInd/>
        <w:snapToGrid/>
        <w:ind w:left="0" w:leftChars="0" w:firstLine="420" w:firstLineChars="20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从</w:t>
      </w:r>
      <w:r>
        <w:rPr>
          <w:rFonts w:hint="eastAsia" w:ascii="宋体" w:hAnsi="宋体" w:cs="宋体"/>
          <w:sz w:val="21"/>
          <w:szCs w:val="21"/>
          <w:vertAlign w:val="baseline"/>
          <w:lang w:val="en-US" w:eastAsia="zh-CN"/>
        </w:rPr>
        <w:t>以上两</w:t>
      </w:r>
      <w:r>
        <w:rPr>
          <w:rFonts w:hint="eastAsia" w:ascii="宋体" w:hAnsi="宋体" w:eastAsia="宋体" w:cs="宋体"/>
          <w:sz w:val="21"/>
          <w:szCs w:val="21"/>
          <w:vertAlign w:val="baseline"/>
          <w:lang w:val="en-US" w:eastAsia="zh-CN"/>
        </w:rPr>
        <w:t>图中可以明显看出使用AVS后生化池中溶解氧（DO）的值较使用前更平稳。</w:t>
      </w:r>
    </w:p>
    <w:p>
      <w:pPr>
        <w:pStyle w:val="3"/>
        <w:keepLines w:val="0"/>
        <w:pageBreakBefore w:val="0"/>
        <w:kinsoku/>
        <w:wordWrap/>
        <w:overflowPunct/>
        <w:topLinePunct w:val="0"/>
        <w:autoSpaceDE/>
        <w:autoSpaceDN/>
        <w:bidi w:val="0"/>
        <w:adjustRightInd/>
        <w:snapToGrid/>
        <w:spacing w:before="0" w:after="0"/>
        <w:ind w:left="0" w:leftChars="0"/>
      </w:pPr>
      <w:r>
        <w:t>加药除磷智能控制系统</w:t>
      </w:r>
    </w:p>
    <w:p>
      <w:pPr>
        <w:pStyle w:val="42"/>
        <w:keepNext w:val="0"/>
        <w:keepLines w:val="0"/>
        <w:pageBreakBefore w:val="0"/>
        <w:widowControl/>
        <w:kinsoku/>
        <w:wordWrap/>
        <w:overflowPunct/>
        <w:topLinePunct w:val="0"/>
        <w:autoSpaceDE/>
        <w:autoSpaceDN/>
        <w:bidi w:val="0"/>
        <w:adjustRightInd/>
        <w:snapToGrid/>
        <w:ind w:left="0" w:leftChars="0" w:firstLine="420" w:firstLineChars="20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加药除磷智能控制系统（简称：DephOS）是一个集成的控制系统，通过ProSee可准确预测综合反应池出水的磷酸盐浓度，同时结合进水水量、温度、pH、出水总磷浓度等相关参数，基于化学除磷动力学过程，准确计算出每个加药流程的需药量，并将需药量信号发送至加药泵主控柜MCP，利用加药泵控制模块，根据泵的流量-频率特性设定泵的运行频率，调节构筑物的总加药量；同时，通过加药管路上阀门开度的调控，来实现各个构筑物加药量的合理分配，从而实现出水水质达标基础上的降低药剂投加量。</w:t>
      </w:r>
    </w:p>
    <w:p>
      <w:pPr>
        <w:pStyle w:val="42"/>
        <w:keepNext w:val="0"/>
        <w:keepLines w:val="0"/>
        <w:pageBreakBefore w:val="0"/>
        <w:widowControl/>
        <w:kinsoku/>
        <w:wordWrap/>
        <w:overflowPunct/>
        <w:topLinePunct w:val="0"/>
        <w:autoSpaceDE/>
        <w:autoSpaceDN/>
        <w:bidi w:val="0"/>
        <w:adjustRightInd/>
        <w:snapToGrid/>
        <w:ind w:left="0" w:leftChars="0" w:firstLine="420" w:firstLineChars="200"/>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三亚市荔枝沟水质净化厂现使用的除磷药剂为10% PAC溶液，二级处理段共2台加药泵，1用1备。DephOS于10月份上线使用，使用</w:t>
      </w:r>
      <w:r>
        <w:rPr>
          <w:rFonts w:hint="eastAsia" w:ascii="宋体" w:hAnsi="宋体" w:cs="宋体"/>
          <w:sz w:val="21"/>
          <w:szCs w:val="21"/>
          <w:vertAlign w:val="baseline"/>
          <w:lang w:val="en-US" w:eastAsia="zh-CN"/>
        </w:rPr>
        <w:t>后PAC药耗下降了25%-40%。最近4个月药耗数据</w:t>
      </w:r>
      <w:r>
        <w:rPr>
          <w:rFonts w:hint="eastAsia" w:ascii="宋体" w:hAnsi="宋体" w:eastAsia="宋体" w:cs="宋体"/>
          <w:sz w:val="21"/>
          <w:szCs w:val="21"/>
          <w:vertAlign w:val="baseline"/>
          <w:lang w:val="en-US" w:eastAsia="zh-CN"/>
        </w:rPr>
        <w:t>如下：</w:t>
      </w:r>
    </w:p>
    <w:tbl>
      <w:tblPr>
        <w:tblStyle w:val="17"/>
        <w:tblW w:w="964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770"/>
        <w:gridCol w:w="1303"/>
        <w:gridCol w:w="2250"/>
        <w:gridCol w:w="1890"/>
        <w:gridCol w:w="2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770" w:type="dxa"/>
            <w:tcBorders>
              <w:top w:val="single" w:color="auto" w:sz="12" w:space="0"/>
              <w:bottom w:val="single" w:color="auto" w:sz="8"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系统使用状态</w:t>
            </w:r>
          </w:p>
        </w:tc>
        <w:tc>
          <w:tcPr>
            <w:tcW w:w="1303" w:type="dxa"/>
            <w:tcBorders>
              <w:top w:val="single" w:color="auto" w:sz="12" w:space="0"/>
              <w:left w:val="nil"/>
              <w:bottom w:val="single" w:color="auto" w:sz="8"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时段</w:t>
            </w:r>
          </w:p>
        </w:tc>
        <w:tc>
          <w:tcPr>
            <w:tcW w:w="2250" w:type="dxa"/>
            <w:tcBorders>
              <w:top w:val="single" w:color="auto" w:sz="12" w:space="0"/>
              <w:bottom w:val="single" w:color="auto" w:sz="8"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总进水量（吨）</w:t>
            </w:r>
          </w:p>
        </w:tc>
        <w:tc>
          <w:tcPr>
            <w:tcW w:w="1890" w:type="dxa"/>
            <w:tcBorders>
              <w:top w:val="single" w:color="auto" w:sz="12" w:space="0"/>
              <w:bottom w:val="single" w:color="auto" w:sz="8"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PAC含量10%(吨)</w:t>
            </w:r>
          </w:p>
        </w:tc>
        <w:tc>
          <w:tcPr>
            <w:tcW w:w="2430" w:type="dxa"/>
            <w:tcBorders>
              <w:top w:val="single" w:color="auto" w:sz="12" w:space="0"/>
              <w:bottom w:val="single" w:color="auto" w:sz="8"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吨水PAC单耗（KG)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770" w:type="dxa"/>
            <w:vMerge w:val="restart"/>
            <w:tcBorders>
              <w:top w:val="single" w:color="auto" w:sz="8" w:space="0"/>
              <w:bottom w:val="nil"/>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未使用DephOS</w:t>
            </w:r>
          </w:p>
        </w:tc>
        <w:tc>
          <w:tcPr>
            <w:tcW w:w="1303" w:type="dxa"/>
            <w:tcBorders>
              <w:top w:val="single" w:color="auto" w:sz="8" w:space="0"/>
              <w:left w:val="nil"/>
              <w:bottom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8月份</w:t>
            </w:r>
          </w:p>
        </w:tc>
        <w:tc>
          <w:tcPr>
            <w:tcW w:w="2250" w:type="dxa"/>
            <w:tcBorders>
              <w:top w:val="single" w:color="auto" w:sz="8" w:space="0"/>
              <w:bottom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526638</w:t>
            </w:r>
          </w:p>
        </w:tc>
        <w:tc>
          <w:tcPr>
            <w:tcW w:w="1890" w:type="dxa"/>
            <w:tcBorders>
              <w:top w:val="single" w:color="auto" w:sz="8" w:space="0"/>
              <w:bottom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63.22</w:t>
            </w:r>
          </w:p>
        </w:tc>
        <w:tc>
          <w:tcPr>
            <w:tcW w:w="2430" w:type="dxa"/>
            <w:tcBorders>
              <w:top w:val="single" w:color="auto" w:sz="8" w:space="0"/>
              <w:bottom w:val="nil"/>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770" w:type="dxa"/>
            <w:vMerge w:val="continue"/>
            <w:tcBorders>
              <w:top w:val="nil"/>
              <w:bottom w:val="nil"/>
              <w:right w:val="nil"/>
            </w:tcBorders>
            <w:shd w:val="clear" w:color="auto" w:fill="auto"/>
            <w:noWrap/>
            <w:tcMar>
              <w:top w:w="15" w:type="dxa"/>
              <w:left w:w="15" w:type="dxa"/>
              <w:right w:w="15" w:type="dxa"/>
            </w:tcMar>
            <w:vAlign w:val="center"/>
          </w:tcPr>
          <w:p>
            <w:pPr>
              <w:keepLines w:val="0"/>
              <w:pageBreakBefore w:val="0"/>
              <w:kinsoku/>
              <w:wordWrap/>
              <w:overflowPunct/>
              <w:topLinePunct w:val="0"/>
              <w:autoSpaceDE/>
              <w:autoSpaceDN/>
              <w:bidi w:val="0"/>
              <w:adjustRightInd/>
              <w:snapToGrid/>
              <w:ind w:left="0" w:leftChars="0"/>
              <w:jc w:val="center"/>
              <w:rPr>
                <w:rFonts w:hint="eastAsia" w:ascii="宋体" w:hAnsi="宋体" w:eastAsia="宋体" w:cs="宋体"/>
                <w:i w:val="0"/>
                <w:color w:val="000000"/>
                <w:sz w:val="21"/>
                <w:szCs w:val="21"/>
                <w:u w:val="none"/>
              </w:rPr>
            </w:pPr>
          </w:p>
        </w:tc>
        <w:tc>
          <w:tcPr>
            <w:tcW w:w="1303" w:type="dxa"/>
            <w:tcBorders>
              <w:top w:val="nil"/>
              <w:left w:val="nil"/>
              <w:bottom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9月份</w:t>
            </w:r>
          </w:p>
        </w:tc>
        <w:tc>
          <w:tcPr>
            <w:tcW w:w="2250" w:type="dxa"/>
            <w:tcBorders>
              <w:top w:val="nil"/>
              <w:bottom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774602</w:t>
            </w:r>
          </w:p>
        </w:tc>
        <w:tc>
          <w:tcPr>
            <w:tcW w:w="1890" w:type="dxa"/>
            <w:tcBorders>
              <w:top w:val="nil"/>
              <w:bottom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92.82</w:t>
            </w:r>
          </w:p>
        </w:tc>
        <w:tc>
          <w:tcPr>
            <w:tcW w:w="2430" w:type="dxa"/>
            <w:tcBorders>
              <w:top w:val="nil"/>
              <w:bottom w:val="nil"/>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770" w:type="dxa"/>
            <w:vMerge w:val="restart"/>
            <w:tcBorders>
              <w:top w:val="nil"/>
              <w:bottom w:val="nil"/>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已使用DephOS</w:t>
            </w:r>
          </w:p>
        </w:tc>
        <w:tc>
          <w:tcPr>
            <w:tcW w:w="1303" w:type="dxa"/>
            <w:tcBorders>
              <w:top w:val="nil"/>
              <w:left w:val="nil"/>
              <w:bottom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10月份</w:t>
            </w:r>
          </w:p>
        </w:tc>
        <w:tc>
          <w:tcPr>
            <w:tcW w:w="2250" w:type="dxa"/>
            <w:tcBorders>
              <w:top w:val="nil"/>
              <w:bottom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1025264</w:t>
            </w:r>
          </w:p>
        </w:tc>
        <w:tc>
          <w:tcPr>
            <w:tcW w:w="1890" w:type="dxa"/>
            <w:tcBorders>
              <w:top w:val="nil"/>
              <w:bottom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90.06</w:t>
            </w:r>
          </w:p>
        </w:tc>
        <w:tc>
          <w:tcPr>
            <w:tcW w:w="2430" w:type="dxa"/>
            <w:tcBorders>
              <w:top w:val="nil"/>
              <w:bottom w:val="nil"/>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770" w:type="dxa"/>
            <w:vMerge w:val="continue"/>
            <w:tcBorders>
              <w:top w:val="nil"/>
              <w:bottom w:val="single" w:color="auto" w:sz="12" w:space="0"/>
              <w:right w:val="nil"/>
            </w:tcBorders>
            <w:shd w:val="clear" w:color="auto" w:fill="auto"/>
            <w:noWrap/>
            <w:tcMar>
              <w:top w:w="15" w:type="dxa"/>
              <w:left w:w="15" w:type="dxa"/>
              <w:right w:w="15" w:type="dxa"/>
            </w:tcMar>
            <w:vAlign w:val="center"/>
          </w:tcPr>
          <w:p>
            <w:pPr>
              <w:keepLines w:val="0"/>
              <w:pageBreakBefore w:val="0"/>
              <w:kinsoku/>
              <w:wordWrap/>
              <w:overflowPunct/>
              <w:topLinePunct w:val="0"/>
              <w:autoSpaceDE/>
              <w:autoSpaceDN/>
              <w:bidi w:val="0"/>
              <w:adjustRightInd/>
              <w:snapToGrid/>
              <w:ind w:left="0" w:leftChars="0"/>
              <w:jc w:val="center"/>
              <w:rPr>
                <w:rFonts w:hint="eastAsia" w:ascii="宋体" w:hAnsi="宋体" w:eastAsia="宋体" w:cs="宋体"/>
                <w:i w:val="0"/>
                <w:color w:val="000000"/>
                <w:sz w:val="21"/>
                <w:szCs w:val="21"/>
                <w:u w:val="none"/>
              </w:rPr>
            </w:pPr>
          </w:p>
        </w:tc>
        <w:tc>
          <w:tcPr>
            <w:tcW w:w="1303" w:type="dxa"/>
            <w:tcBorders>
              <w:top w:val="nil"/>
              <w:left w:val="nil"/>
              <w:bottom w:val="single" w:color="auto" w:sz="12"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11月份</w:t>
            </w:r>
          </w:p>
        </w:tc>
        <w:tc>
          <w:tcPr>
            <w:tcW w:w="2250" w:type="dxa"/>
            <w:tcBorders>
              <w:top w:val="nil"/>
              <w:bottom w:val="single" w:color="auto" w:sz="12"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946101</w:t>
            </w:r>
          </w:p>
        </w:tc>
        <w:tc>
          <w:tcPr>
            <w:tcW w:w="1890" w:type="dxa"/>
            <w:tcBorders>
              <w:top w:val="nil"/>
              <w:bottom w:val="single" w:color="auto" w:sz="12"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63.1</w:t>
            </w:r>
          </w:p>
        </w:tc>
        <w:tc>
          <w:tcPr>
            <w:tcW w:w="2430" w:type="dxa"/>
            <w:tcBorders>
              <w:top w:val="nil"/>
              <w:bottom w:val="single" w:color="auto" w:sz="12"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0.07</w:t>
            </w:r>
          </w:p>
        </w:tc>
      </w:tr>
    </w:tbl>
    <w:p>
      <w:pPr>
        <w:pStyle w:val="2"/>
        <w:keepNext/>
        <w:keepLines w:val="0"/>
        <w:pageBreakBefore w:val="0"/>
        <w:widowControl/>
        <w:kinsoku/>
        <w:wordWrap/>
        <w:overflowPunct/>
        <w:topLinePunct w:val="0"/>
        <w:autoSpaceDE/>
        <w:autoSpaceDN/>
        <w:bidi w:val="0"/>
        <w:adjustRightInd/>
        <w:snapToGrid/>
        <w:spacing w:before="0" w:after="0"/>
        <w:ind w:left="0" w:leftChars="0" w:firstLine="0"/>
        <w:textAlignment w:val="auto"/>
        <w:rPr>
          <w:rFonts w:hint="eastAsia" w:ascii="Arial" w:hAnsi="Arial"/>
          <w:lang w:val="en-US" w:eastAsia="zh-CN"/>
        </w:rPr>
      </w:pPr>
      <w:r>
        <w:rPr>
          <w:rFonts w:hint="eastAsia" w:ascii="Arial" w:hAnsi="Arial"/>
          <w:lang w:val="en-US" w:eastAsia="zh-CN"/>
        </w:rPr>
        <w:t>全厂数字化的智慧运营管理服务</w:t>
      </w:r>
    </w:p>
    <w:p>
      <w:pPr>
        <w:pStyle w:val="42"/>
        <w:keepNext w:val="0"/>
        <w:keepLines w:val="0"/>
        <w:pageBreakBefore w:val="0"/>
        <w:widowControl/>
        <w:kinsoku/>
        <w:wordWrap/>
        <w:overflowPunct/>
        <w:topLinePunct w:val="0"/>
        <w:autoSpaceDE/>
        <w:autoSpaceDN/>
        <w:bidi w:val="0"/>
        <w:adjustRightInd/>
        <w:snapToGrid/>
        <w:ind w:left="0" w:leftChars="0" w:firstLine="420" w:firstLineChars="200"/>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三亚市荔枝沟水质净化厂</w:t>
      </w:r>
      <w:r>
        <w:rPr>
          <w:rFonts w:hint="default" w:ascii="宋体" w:hAnsi="宋体" w:eastAsia="宋体" w:cs="宋体"/>
          <w:sz w:val="21"/>
          <w:szCs w:val="21"/>
          <w:vertAlign w:val="baseline"/>
          <w:lang w:val="en-US" w:eastAsia="zh-CN"/>
        </w:rPr>
        <w:t>运用“物联网+移动化+云平台+大数据”先进技术，采用系统思维构建新一代水质净化厂</w:t>
      </w:r>
      <w:r>
        <w:rPr>
          <w:rFonts w:hint="eastAsia" w:ascii="宋体" w:hAnsi="宋体" w:eastAsia="宋体" w:cs="宋体"/>
          <w:sz w:val="21"/>
          <w:szCs w:val="21"/>
          <w:vertAlign w:val="baseline"/>
          <w:lang w:val="en-US" w:eastAsia="zh-CN"/>
        </w:rPr>
        <w:t>智慧</w:t>
      </w:r>
      <w:r>
        <w:rPr>
          <w:rFonts w:hint="default" w:ascii="宋体" w:hAnsi="宋体" w:eastAsia="宋体" w:cs="宋体"/>
          <w:sz w:val="21"/>
          <w:szCs w:val="21"/>
          <w:vertAlign w:val="baseline"/>
          <w:lang w:val="en-US" w:eastAsia="zh-CN"/>
        </w:rPr>
        <w:t>运营管理</w:t>
      </w:r>
      <w:r>
        <w:rPr>
          <w:rFonts w:hint="eastAsia" w:ascii="宋体" w:hAnsi="宋体" w:eastAsia="宋体" w:cs="宋体"/>
          <w:sz w:val="21"/>
          <w:szCs w:val="21"/>
          <w:vertAlign w:val="baseline"/>
          <w:lang w:val="en-US" w:eastAsia="zh-CN"/>
        </w:rPr>
        <w:t>系统</w:t>
      </w:r>
      <w:r>
        <w:rPr>
          <w:rFonts w:hint="default" w:ascii="宋体" w:hAnsi="宋体" w:eastAsia="宋体" w:cs="宋体"/>
          <w:sz w:val="21"/>
          <w:szCs w:val="21"/>
          <w:vertAlign w:val="baseline"/>
          <w:lang w:val="en-US" w:eastAsia="zh-CN"/>
        </w:rPr>
        <w:t>的整体逻辑架构，以数字化、移动化方式管理</w:t>
      </w:r>
      <w:r>
        <w:rPr>
          <w:rFonts w:hint="eastAsia" w:ascii="宋体" w:hAnsi="宋体" w:eastAsia="宋体" w:cs="宋体"/>
          <w:sz w:val="21"/>
          <w:szCs w:val="21"/>
          <w:vertAlign w:val="baseline"/>
          <w:lang w:val="en-US" w:eastAsia="zh-CN"/>
        </w:rPr>
        <w:t>生产</w:t>
      </w:r>
      <w:r>
        <w:rPr>
          <w:rFonts w:hint="default" w:ascii="宋体" w:hAnsi="宋体" w:eastAsia="宋体" w:cs="宋体"/>
          <w:sz w:val="21"/>
          <w:szCs w:val="21"/>
          <w:vertAlign w:val="baseline"/>
          <w:lang w:val="en-US" w:eastAsia="zh-CN"/>
        </w:rPr>
        <w:t>运营的整体过程，实现水质净化厂的运营管理由粗放式管理模式转变为精细化管理模式。</w:t>
      </w:r>
    </w:p>
    <w:p>
      <w:pPr>
        <w:pStyle w:val="3"/>
        <w:keepLines w:val="0"/>
        <w:pageBreakBefore w:val="0"/>
        <w:kinsoku/>
        <w:wordWrap/>
        <w:overflowPunct/>
        <w:topLinePunct w:val="0"/>
        <w:autoSpaceDE/>
        <w:autoSpaceDN/>
        <w:bidi w:val="0"/>
        <w:adjustRightInd/>
        <w:snapToGrid/>
        <w:spacing w:before="0" w:after="0"/>
        <w:ind w:left="0" w:leftChars="0"/>
      </w:pPr>
      <w:bookmarkStart w:id="0" w:name="_Toc485135221"/>
      <w:bookmarkStart w:id="1" w:name="_Toc526947873"/>
      <w:r>
        <w:rPr>
          <w:rFonts w:hint="eastAsia"/>
        </w:rPr>
        <w:t>构建基于工业物联网的统一设备接入与采集平台</w:t>
      </w:r>
      <w:bookmarkEnd w:id="0"/>
      <w:bookmarkEnd w:id="1"/>
    </w:p>
    <w:p>
      <w:pPr>
        <w:pStyle w:val="42"/>
        <w:keepNext w:val="0"/>
        <w:keepLines w:val="0"/>
        <w:pageBreakBefore w:val="0"/>
        <w:widowControl/>
        <w:kinsoku/>
        <w:wordWrap/>
        <w:overflowPunct/>
        <w:topLinePunct w:val="0"/>
        <w:autoSpaceDE/>
        <w:autoSpaceDN/>
        <w:bidi w:val="0"/>
        <w:adjustRightInd/>
        <w:snapToGrid/>
        <w:ind w:left="0" w:leftChars="0" w:firstLine="420" w:firstLineChars="20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系统通过物联网技术将三亚市荔枝沟水质净化厂的仪表、设备进行按需入网，网络冗余设计，保障现场设备在故障或恶劣环境下可靠稳定运行。引入互联网“去中心化”网络架构模式，通过数据网关对厂站设备数据进行分布式通讯传输，减少中间网络结构层级，便于扩展扩充，稳定可靠。对采集数据分析、预处理保障数据准确有效性，构建一个包含信息感知、传输、处理、安全的数据采集与处理体系。</w:t>
      </w:r>
    </w:p>
    <w:p>
      <w:pPr>
        <w:pStyle w:val="3"/>
        <w:keepLines w:val="0"/>
        <w:pageBreakBefore w:val="0"/>
        <w:kinsoku/>
        <w:wordWrap/>
        <w:overflowPunct/>
        <w:topLinePunct w:val="0"/>
        <w:autoSpaceDE/>
        <w:autoSpaceDN/>
        <w:bidi w:val="0"/>
        <w:adjustRightInd/>
        <w:snapToGrid/>
        <w:spacing w:before="0" w:after="0"/>
        <w:ind w:left="0" w:leftChars="0"/>
      </w:pPr>
      <w:bookmarkStart w:id="2" w:name="_Toc526947874"/>
      <w:bookmarkStart w:id="3" w:name="_Toc485135222"/>
      <w:r>
        <w:rPr>
          <w:rFonts w:hint="eastAsia"/>
        </w:rPr>
        <w:t>构建中央一体化</w:t>
      </w:r>
      <w:bookmarkEnd w:id="2"/>
      <w:bookmarkEnd w:id="3"/>
      <w:r>
        <w:rPr>
          <w:rFonts w:hint="eastAsia"/>
          <w:lang w:val="en-US" w:eastAsia="zh-CN"/>
        </w:rPr>
        <w:t>联动机制</w:t>
      </w:r>
    </w:p>
    <w:p>
      <w:pPr>
        <w:pStyle w:val="42"/>
        <w:keepNext w:val="0"/>
        <w:keepLines w:val="0"/>
        <w:pageBreakBefore w:val="0"/>
        <w:widowControl/>
        <w:kinsoku/>
        <w:wordWrap/>
        <w:overflowPunct/>
        <w:topLinePunct w:val="0"/>
        <w:autoSpaceDE/>
        <w:autoSpaceDN/>
        <w:bidi w:val="0"/>
        <w:adjustRightInd/>
        <w:snapToGrid/>
        <w:ind w:left="0" w:leftChars="0" w:firstLine="420" w:firstLineChars="20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污水厂各级人员可以通过工艺画面直观的看到目前污水厂各工艺段生产情况，包括工艺指标数据、设备指标数据、工艺段现场视频画面等。一旦系统检测发现异常，立即发布预警和报警信息，并以短信或微信等方式发送至相关员。通过调取相应监测点视频监控录像，启动专家系统进行故障诊断与风险预测，形成监控、报警、诊断的一体化联动机制。</w:t>
      </w:r>
    </w:p>
    <w:p>
      <w:pPr>
        <w:pStyle w:val="3"/>
        <w:keepLines w:val="0"/>
        <w:pageBreakBefore w:val="0"/>
        <w:kinsoku/>
        <w:wordWrap/>
        <w:overflowPunct/>
        <w:topLinePunct w:val="0"/>
        <w:autoSpaceDE/>
        <w:autoSpaceDN/>
        <w:bidi w:val="0"/>
        <w:adjustRightInd/>
        <w:snapToGrid/>
        <w:spacing w:before="0" w:after="0"/>
        <w:ind w:left="0" w:leftChars="0"/>
        <w:rPr>
          <w:rFonts w:hint="eastAsia"/>
        </w:rPr>
      </w:pPr>
      <w:r>
        <w:rPr>
          <w:rFonts w:hint="eastAsia"/>
          <w:lang w:val="en-US" w:eastAsia="zh-CN"/>
        </w:rPr>
        <w:t>构建</w:t>
      </w:r>
      <w:r>
        <w:rPr>
          <w:rFonts w:hint="eastAsia"/>
        </w:rPr>
        <w:t>移动化监控管理运营体系</w:t>
      </w:r>
    </w:p>
    <w:p>
      <w:pPr>
        <w:pStyle w:val="42"/>
        <w:keepNext w:val="0"/>
        <w:keepLines w:val="0"/>
        <w:pageBreakBefore w:val="0"/>
        <w:widowControl/>
        <w:kinsoku/>
        <w:wordWrap/>
        <w:overflowPunct/>
        <w:topLinePunct w:val="0"/>
        <w:autoSpaceDE/>
        <w:autoSpaceDN/>
        <w:bidi w:val="0"/>
        <w:adjustRightInd/>
        <w:snapToGrid/>
        <w:ind w:left="0" w:leftChars="0" w:firstLine="420" w:firstLineChars="200"/>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基于云技术和移动互联架构设计实现移动化管理平台，用户可采用PC或APP方式平台随时、随地、实时对全厂工艺运行及数据进行全方位的综合管理，实现对三亚市荔枝沟水质净化厂的当前运行状态的实时监视、数据分析、远程巡检及设备控制等，实现“口袋水厂”，打破物理围墙的限制，加快管理信息传递，并规范现场作业流程，提高人员工作效率。三亚市荔枝沟水质净化厂“口袋水厂”</w:t>
      </w:r>
      <w:r>
        <w:rPr>
          <w:rFonts w:hint="eastAsia" w:ascii="宋体" w:hAnsi="宋体" w:cs="宋体"/>
          <w:sz w:val="21"/>
          <w:szCs w:val="21"/>
          <w:vertAlign w:val="baseline"/>
          <w:lang w:val="en-US" w:eastAsia="zh-CN"/>
        </w:rPr>
        <w:t>效果如图所示：</w:t>
      </w:r>
    </w:p>
    <w:p>
      <w:pPr>
        <w:keepLines w:val="0"/>
        <w:pageBreakBefore w:val="0"/>
        <w:kinsoku/>
        <w:wordWrap/>
        <w:overflowPunct/>
        <w:topLinePunct w:val="0"/>
        <w:autoSpaceDE/>
        <w:autoSpaceDN/>
        <w:bidi w:val="0"/>
        <w:adjustRightInd/>
        <w:snapToGrid/>
        <w:ind w:left="0" w:leftChars="0"/>
        <w:jc w:val="center"/>
        <w:rPr>
          <w:rFonts w:hint="eastAsia"/>
        </w:rPr>
      </w:pPr>
      <w:r>
        <w:drawing>
          <wp:inline distT="0" distB="0" distL="114300" distR="114300">
            <wp:extent cx="5734050" cy="3924300"/>
            <wp:effectExtent l="0" t="0" r="0" b="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4"/>
                    <a:stretch>
                      <a:fillRect/>
                    </a:stretch>
                  </pic:blipFill>
                  <pic:spPr>
                    <a:xfrm>
                      <a:off x="0" y="0"/>
                      <a:ext cx="5734050" cy="3924300"/>
                    </a:xfrm>
                    <a:prstGeom prst="rect">
                      <a:avLst/>
                    </a:prstGeom>
                    <a:noFill/>
                    <a:ln>
                      <a:noFill/>
                    </a:ln>
                  </pic:spPr>
                </pic:pic>
              </a:graphicData>
            </a:graphic>
          </wp:inline>
        </w:drawing>
      </w:r>
    </w:p>
    <w:p>
      <w:pPr>
        <w:pStyle w:val="3"/>
        <w:keepLines w:val="0"/>
        <w:pageBreakBefore w:val="0"/>
        <w:kinsoku/>
        <w:wordWrap/>
        <w:overflowPunct/>
        <w:topLinePunct w:val="0"/>
        <w:autoSpaceDE/>
        <w:autoSpaceDN/>
        <w:bidi w:val="0"/>
        <w:adjustRightInd/>
        <w:snapToGrid/>
        <w:spacing w:before="0" w:after="0"/>
        <w:ind w:left="0" w:leftChars="0"/>
      </w:pPr>
      <w:bookmarkStart w:id="4" w:name="_Toc485135224"/>
      <w:bookmarkStart w:id="5" w:name="_Toc526947877"/>
      <w:r>
        <w:rPr>
          <w:rFonts w:hint="eastAsia"/>
        </w:rPr>
        <w:t>构建设备全生命周期运维体系</w:t>
      </w:r>
      <w:bookmarkEnd w:id="4"/>
      <w:bookmarkEnd w:id="5"/>
    </w:p>
    <w:p>
      <w:pPr>
        <w:pStyle w:val="42"/>
        <w:keepNext w:val="0"/>
        <w:keepLines w:val="0"/>
        <w:pageBreakBefore w:val="0"/>
        <w:widowControl/>
        <w:kinsoku/>
        <w:wordWrap/>
        <w:overflowPunct/>
        <w:topLinePunct w:val="0"/>
        <w:autoSpaceDE/>
        <w:autoSpaceDN/>
        <w:bidi w:val="0"/>
        <w:adjustRightInd/>
        <w:snapToGrid/>
        <w:ind w:left="0" w:leftChars="0" w:firstLine="420" w:firstLineChars="20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设备全生命周期运维体系通过以工单的创建、审批、执行、关闭为主线，合理、优化地安排相关的人、财、物资源，将传统的被动检修转变为积极主动的预防性维修，并借助移动化技术使设备运维具备实时可看、可查、可管的能力，提升设备管控水平，延长设备使用寿命的同时保障了生产安全。</w:t>
      </w:r>
    </w:p>
    <w:p>
      <w:pPr>
        <w:pStyle w:val="3"/>
        <w:keepLines w:val="0"/>
        <w:pageBreakBefore w:val="0"/>
        <w:kinsoku/>
        <w:wordWrap/>
        <w:overflowPunct/>
        <w:topLinePunct w:val="0"/>
        <w:autoSpaceDE/>
        <w:autoSpaceDN/>
        <w:bidi w:val="0"/>
        <w:adjustRightInd/>
        <w:snapToGrid/>
        <w:spacing w:before="0" w:after="0"/>
        <w:ind w:left="0" w:leftChars="0"/>
      </w:pPr>
      <w:bookmarkStart w:id="6" w:name="_Toc485135225"/>
      <w:bookmarkStart w:id="7" w:name="_Toc526947878"/>
      <w:r>
        <w:rPr>
          <w:rFonts w:hint="eastAsia"/>
        </w:rPr>
        <w:t>构建水厂大数据分析</w:t>
      </w:r>
      <w:r>
        <w:t>及</w:t>
      </w:r>
      <w:r>
        <w:rPr>
          <w:rFonts w:hint="eastAsia"/>
        </w:rPr>
        <w:t>科学化决策平台</w:t>
      </w:r>
      <w:bookmarkEnd w:id="6"/>
      <w:bookmarkEnd w:id="7"/>
    </w:p>
    <w:p>
      <w:pPr>
        <w:pStyle w:val="42"/>
        <w:keepNext w:val="0"/>
        <w:keepLines w:val="0"/>
        <w:pageBreakBefore w:val="0"/>
        <w:widowControl/>
        <w:kinsoku/>
        <w:wordWrap/>
        <w:overflowPunct/>
        <w:topLinePunct w:val="0"/>
        <w:autoSpaceDE/>
        <w:autoSpaceDN/>
        <w:bidi w:val="0"/>
        <w:adjustRightInd/>
        <w:snapToGrid/>
        <w:ind w:left="0" w:leftChars="0" w:firstLine="420" w:firstLineChars="200"/>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构建三亚市荔枝沟水质净化厂大数据分析及科学化决策平台，依托于云计算优势，基于对海量数据进行二次挖掘，按照各种算法及公式快速准确得到各类运行参数或统计分析数据。建立污水处理厂运行关键绩效指标评估机制，从管理质量、能耗分析、设备运行效率、运行工艺参数等多个方面定期对污水处理厂的运行管理状况进行综合性评定。以多维度统计图表的方式展现绩效结果，识别污水处理厂运行管理薄弱环节，为三亚市荔枝沟水厂运行管理优化提供丰富的数据和决策支持，为全厂科学化、精细化、智慧化运营提供强有力的支撑。三亚市荔枝沟水质净化厂</w:t>
      </w:r>
      <w:r>
        <w:rPr>
          <w:rFonts w:hint="eastAsia"/>
        </w:rPr>
        <w:t>大数据分析</w:t>
      </w:r>
      <w:r>
        <w:t>及</w:t>
      </w:r>
      <w:r>
        <w:rPr>
          <w:rFonts w:hint="eastAsia"/>
        </w:rPr>
        <w:t>科学化决策平台</w:t>
      </w:r>
      <w:r>
        <w:rPr>
          <w:rFonts w:hint="eastAsia"/>
          <w:lang w:val="en-US" w:eastAsia="zh-CN"/>
        </w:rPr>
        <w:t>如图所示：</w:t>
      </w:r>
    </w:p>
    <w:p>
      <w:pPr>
        <w:pStyle w:val="30"/>
        <w:keepLines w:val="0"/>
        <w:pageBreakBefore w:val="0"/>
        <w:kinsoku/>
        <w:wordWrap/>
        <w:overflowPunct/>
        <w:topLinePunct w:val="0"/>
        <w:autoSpaceDE/>
        <w:autoSpaceDN/>
        <w:bidi w:val="0"/>
        <w:adjustRightInd/>
        <w:snapToGrid/>
        <w:ind w:left="0" w:leftChars="0"/>
        <w:jc w:val="left"/>
        <w:rPr>
          <w:rFonts w:hint="eastAsia" w:ascii="宋体" w:hAnsi="宋体"/>
          <w:sz w:val="28"/>
          <w:szCs w:val="28"/>
        </w:rPr>
      </w:pPr>
      <w:r>
        <w:drawing>
          <wp:inline distT="0" distB="0" distL="114300" distR="114300">
            <wp:extent cx="6115050" cy="3226435"/>
            <wp:effectExtent l="0" t="0" r="0" b="1206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5"/>
                    <a:stretch>
                      <a:fillRect/>
                    </a:stretch>
                  </pic:blipFill>
                  <pic:spPr>
                    <a:xfrm>
                      <a:off x="0" y="0"/>
                      <a:ext cx="6115050" cy="3226435"/>
                    </a:xfrm>
                    <a:prstGeom prst="rect">
                      <a:avLst/>
                    </a:prstGeom>
                    <a:noFill/>
                    <a:ln>
                      <a:noFill/>
                    </a:ln>
                  </pic:spPr>
                </pic:pic>
              </a:graphicData>
            </a:graphic>
          </wp:inline>
        </w:drawing>
      </w:r>
    </w:p>
    <w:p>
      <w:pPr>
        <w:pStyle w:val="3"/>
        <w:keepLines w:val="0"/>
        <w:pageBreakBefore w:val="0"/>
        <w:kinsoku/>
        <w:wordWrap/>
        <w:overflowPunct/>
        <w:topLinePunct w:val="0"/>
        <w:autoSpaceDE/>
        <w:autoSpaceDN/>
        <w:bidi w:val="0"/>
        <w:adjustRightInd/>
        <w:snapToGrid/>
        <w:spacing w:before="0" w:after="0"/>
        <w:ind w:left="0" w:leftChars="0"/>
        <w:rPr>
          <w:rFonts w:hint="eastAsia"/>
        </w:rPr>
      </w:pPr>
      <w:r>
        <w:rPr>
          <w:rFonts w:hint="eastAsia"/>
          <w:lang w:val="en-US" w:eastAsia="zh-CN"/>
        </w:rPr>
        <w:t>构建</w:t>
      </w:r>
      <w:r>
        <w:rPr>
          <w:rFonts w:hint="eastAsia"/>
        </w:rPr>
        <w:t>全厂三维</w:t>
      </w:r>
      <w:r>
        <w:rPr>
          <w:rFonts w:hint="eastAsia"/>
          <w:lang w:val="en-US" w:eastAsia="zh-CN"/>
        </w:rPr>
        <w:t>展示模型</w:t>
      </w:r>
    </w:p>
    <w:p>
      <w:pPr>
        <w:pStyle w:val="42"/>
        <w:keepNext w:val="0"/>
        <w:keepLines w:val="0"/>
        <w:pageBreakBefore w:val="0"/>
        <w:widowControl/>
        <w:kinsoku/>
        <w:wordWrap/>
        <w:overflowPunct/>
        <w:topLinePunct w:val="0"/>
        <w:autoSpaceDE/>
        <w:autoSpaceDN/>
        <w:bidi w:val="0"/>
        <w:adjustRightInd/>
        <w:snapToGrid/>
        <w:ind w:left="0" w:leftChars="0" w:firstLine="420" w:firstLineChars="20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利用最新的计算机图形技术，基于三维虚拟现实的最佳形式实现对三亚市荔枝沟水质净化厂的真实展现，把“实体空间”和“虚拟呈现”融合在一起，采集“实体空间”生产制造过程中的所有实时数据，在“虚拟呈现”环境中实现集成展示，使虚拟环境中的生产仿真与现实中的生产无缝融合利用虚拟水厂的灵活优势，促进和提高三亚市荔枝沟水质净化厂现实生产水平。</w:t>
      </w:r>
    </w:p>
    <w:p>
      <w:pPr>
        <w:pStyle w:val="2"/>
        <w:keepLines w:val="0"/>
        <w:pageBreakBefore w:val="0"/>
        <w:numPr>
          <w:ilvl w:val="0"/>
          <w:numId w:val="0"/>
        </w:numPr>
        <w:kinsoku/>
        <w:wordWrap/>
        <w:overflowPunct/>
        <w:topLinePunct w:val="0"/>
        <w:autoSpaceDE/>
        <w:autoSpaceDN/>
        <w:bidi w:val="0"/>
        <w:adjustRightInd/>
        <w:snapToGrid/>
        <w:spacing w:before="0" w:after="0"/>
        <w:ind w:left="0" w:leftChars="0"/>
        <w:jc w:val="left"/>
        <w:rPr>
          <w:rFonts w:ascii="宋体" w:hAnsi="宋体"/>
          <w:b/>
          <w:bCs w:val="0"/>
          <w:sz w:val="21"/>
          <w:szCs w:val="21"/>
        </w:rPr>
      </w:pPr>
      <w:r>
        <w:rPr>
          <w:rFonts w:hint="eastAsia" w:ascii="宋体" w:hAnsi="宋体"/>
          <w:b/>
          <w:bCs w:val="0"/>
          <w:sz w:val="21"/>
          <w:szCs w:val="21"/>
        </w:rPr>
        <w:t>结语</w:t>
      </w:r>
    </w:p>
    <w:p>
      <w:pPr>
        <w:pStyle w:val="42"/>
        <w:keepNext w:val="0"/>
        <w:keepLines w:val="0"/>
        <w:pageBreakBefore w:val="0"/>
        <w:widowControl/>
        <w:kinsoku/>
        <w:wordWrap/>
        <w:overflowPunct/>
        <w:topLinePunct w:val="0"/>
        <w:autoSpaceDE/>
        <w:autoSpaceDN/>
        <w:bidi w:val="0"/>
        <w:adjustRightInd/>
        <w:snapToGrid/>
        <w:ind w:left="0" w:leftChars="0" w:firstLine="420" w:firstLineChars="20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随着工业自动化技术和IT信息化技术不断发展，以工业化与信息化“两化融合”为核心，通过构建水质净化厂全自动</w:t>
      </w:r>
      <w:r>
        <w:rPr>
          <w:rFonts w:hint="eastAsia" w:ascii="宋体" w:hAnsi="宋体" w:cs="宋体"/>
          <w:sz w:val="21"/>
          <w:szCs w:val="21"/>
          <w:vertAlign w:val="baseline"/>
          <w:lang w:val="en-US" w:eastAsia="zh-CN"/>
        </w:rPr>
        <w:t>化</w:t>
      </w:r>
      <w:r>
        <w:rPr>
          <w:rFonts w:hint="eastAsia" w:ascii="宋体" w:hAnsi="宋体" w:eastAsia="宋体" w:cs="宋体"/>
          <w:sz w:val="21"/>
          <w:szCs w:val="21"/>
          <w:vertAlign w:val="baseline"/>
          <w:lang w:val="en-US" w:eastAsia="zh-CN"/>
        </w:rPr>
        <w:t>、智能化控制体系和智慧运营服务体系，可以在优化工艺处理过程参数、提高出水水质的同时降低水质净化厂的能耗药耗。三亚市荔枝沟水质净化厂自动化控制系统的升级改造、核心工艺的智能化控制和全厂数字化的智慧运营管理系统的实施取得了良好效果，为其他水质净化厂的提标改造提供了宝贵的经验。</w:t>
      </w:r>
    </w:p>
    <w:p>
      <w:pPr>
        <w:pStyle w:val="42"/>
        <w:keepNext w:val="0"/>
        <w:keepLines w:val="0"/>
        <w:pageBreakBefore w:val="0"/>
        <w:widowControl/>
        <w:kinsoku/>
        <w:wordWrap/>
        <w:overflowPunct/>
        <w:topLinePunct w:val="0"/>
        <w:autoSpaceDE/>
        <w:autoSpaceDN/>
        <w:bidi w:val="0"/>
        <w:adjustRightInd/>
        <w:snapToGrid/>
        <w:ind w:left="0" w:leftChars="0" w:firstLine="420" w:firstLineChars="200"/>
        <w:textAlignment w:val="auto"/>
        <w:rPr>
          <w:rFonts w:hint="eastAsia" w:ascii="宋体" w:hAnsi="宋体" w:eastAsia="宋体" w:cs="宋体"/>
          <w:sz w:val="21"/>
          <w:szCs w:val="21"/>
          <w:vertAlign w:val="baseline"/>
          <w:lang w:val="en-US" w:eastAsia="zh-CN"/>
        </w:rPr>
      </w:pPr>
    </w:p>
    <w:p>
      <w:pPr>
        <w:keepNext w:val="0"/>
        <w:keepLines w:val="0"/>
        <w:pageBreakBefore w:val="0"/>
        <w:kinsoku/>
        <w:wordWrap/>
        <w:overflowPunct/>
        <w:topLinePunct w:val="0"/>
        <w:autoSpaceDE/>
        <w:autoSpaceDN/>
        <w:bidi w:val="0"/>
        <w:adjustRightInd/>
        <w:snapToGrid/>
        <w:spacing w:line="240" w:lineRule="auto"/>
        <w:ind w:left="0" w:leftChars="0"/>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rPr>
        <w:t>参考文献：</w:t>
      </w:r>
    </w:p>
    <w:p>
      <w:pPr>
        <w:pStyle w:val="42"/>
        <w:keepNext w:val="0"/>
        <w:keepLines w:val="0"/>
        <w:pageBreakBefore w:val="0"/>
        <w:widowControl/>
        <w:kinsoku/>
        <w:wordWrap/>
        <w:overflowPunct/>
        <w:topLinePunct w:val="0"/>
        <w:autoSpaceDE/>
        <w:autoSpaceDN/>
        <w:bidi w:val="0"/>
        <w:adjustRightInd/>
        <w:snapToGrid/>
        <w:ind w:left="0" w:leftChars="0" w:firstLine="420" w:firstLineChars="200"/>
        <w:jc w:val="both"/>
        <w:textAlignment w:val="auto"/>
        <w:rPr>
          <w:rFonts w:hint="eastAsia" w:ascii="宋体" w:hAnsi="宋体" w:eastAsia="宋体" w:cs="宋体"/>
          <w:sz w:val="21"/>
          <w:szCs w:val="21"/>
          <w:vertAlign w:val="baseline"/>
          <w:lang w:val="en-US" w:eastAsia="zh-CN"/>
        </w:rPr>
      </w:pPr>
      <w:r>
        <w:rPr>
          <w:rFonts w:ascii="宋体" w:hAnsi="宋体" w:eastAsia="宋体"/>
          <w:color w:val="000000"/>
          <w:sz w:val="21"/>
          <w:szCs w:val="21"/>
        </w:rPr>
        <w:t>[1]</w:t>
      </w:r>
      <w:r>
        <w:rPr>
          <w:rFonts w:hint="eastAsia" w:ascii="宋体" w:hAnsi="宋体" w:eastAsia="宋体" w:cs="宋体"/>
          <w:sz w:val="21"/>
          <w:szCs w:val="21"/>
          <w:vertAlign w:val="baseline"/>
          <w:lang w:val="en-US" w:eastAsia="zh-CN"/>
        </w:rPr>
        <w:t>杨天成,夏新燕.智能控制系统在污水处理厂的应用研究[J].建筑工程技术与设计,2017,(9):3217-3217</w:t>
      </w:r>
    </w:p>
    <w:p>
      <w:pPr>
        <w:pStyle w:val="42"/>
        <w:keepNext w:val="0"/>
        <w:keepLines w:val="0"/>
        <w:pageBreakBefore w:val="0"/>
        <w:widowControl/>
        <w:kinsoku/>
        <w:wordWrap/>
        <w:overflowPunct/>
        <w:topLinePunct w:val="0"/>
        <w:autoSpaceDE/>
        <w:autoSpaceDN/>
        <w:bidi w:val="0"/>
        <w:adjustRightInd/>
        <w:snapToGrid/>
        <w:ind w:left="0" w:leftChars="0" w:firstLine="420" w:firstLineChars="200"/>
        <w:jc w:val="both"/>
        <w:textAlignment w:val="auto"/>
        <w:rPr>
          <w:rFonts w:hint="eastAsia" w:ascii="宋体" w:hAnsi="宋体" w:eastAsia="宋体" w:cs="宋体"/>
          <w:sz w:val="21"/>
          <w:szCs w:val="21"/>
          <w:vertAlign w:val="baseline"/>
          <w:lang w:val="en-US" w:eastAsia="zh-CN"/>
        </w:rPr>
      </w:pPr>
      <w:r>
        <w:rPr>
          <w:rFonts w:ascii="宋体" w:hAnsi="宋体" w:eastAsia="宋体"/>
          <w:color w:val="000000"/>
          <w:sz w:val="21"/>
          <w:szCs w:val="21"/>
        </w:rPr>
        <w:t>[</w:t>
      </w:r>
      <w:r>
        <w:rPr>
          <w:rFonts w:hint="eastAsia" w:ascii="宋体" w:hAnsi="宋体"/>
          <w:color w:val="000000"/>
          <w:sz w:val="21"/>
          <w:szCs w:val="21"/>
          <w:lang w:val="en-US" w:eastAsia="zh-CN"/>
        </w:rPr>
        <w:t>2</w:t>
      </w:r>
      <w:r>
        <w:rPr>
          <w:rFonts w:ascii="宋体" w:hAnsi="宋体" w:eastAsia="宋体"/>
          <w:color w:val="000000"/>
          <w:sz w:val="21"/>
          <w:szCs w:val="21"/>
        </w:rPr>
        <w:t>]</w:t>
      </w:r>
      <w:r>
        <w:rPr>
          <w:rFonts w:hint="eastAsia" w:ascii="宋体" w:hAnsi="宋体" w:eastAsia="宋体" w:cs="宋体"/>
          <w:sz w:val="21"/>
          <w:szCs w:val="21"/>
          <w:vertAlign w:val="baseline"/>
          <w:lang w:val="en-US" w:eastAsia="zh-CN"/>
        </w:rPr>
        <w:t>朱报开,漆青松,金璐,林志辉.略谈水厂智能化控制系统的设计[J].工业控制计算,2011,24(1):23-24</w:t>
      </w:r>
    </w:p>
    <w:p>
      <w:pPr>
        <w:pStyle w:val="42"/>
        <w:keepNext w:val="0"/>
        <w:keepLines w:val="0"/>
        <w:pageBreakBefore w:val="0"/>
        <w:widowControl/>
        <w:kinsoku/>
        <w:wordWrap/>
        <w:overflowPunct/>
        <w:topLinePunct w:val="0"/>
        <w:autoSpaceDE/>
        <w:autoSpaceDN/>
        <w:bidi w:val="0"/>
        <w:adjustRightInd/>
        <w:snapToGrid/>
        <w:ind w:left="0" w:leftChars="0" w:firstLine="420" w:firstLineChars="200"/>
        <w:jc w:val="both"/>
        <w:textAlignment w:val="auto"/>
        <w:rPr>
          <w:rFonts w:hint="eastAsia" w:ascii="宋体" w:hAnsi="宋体" w:eastAsia="宋体" w:cs="宋体"/>
          <w:sz w:val="21"/>
          <w:szCs w:val="21"/>
          <w:vertAlign w:val="baseline"/>
          <w:lang w:val="en-US" w:eastAsia="zh-CN"/>
        </w:rPr>
      </w:pPr>
      <w:r>
        <w:rPr>
          <w:rFonts w:ascii="宋体" w:hAnsi="宋体" w:eastAsia="宋体"/>
          <w:color w:val="000000"/>
          <w:sz w:val="21"/>
          <w:szCs w:val="21"/>
        </w:rPr>
        <w:t>[</w:t>
      </w:r>
      <w:r>
        <w:rPr>
          <w:rFonts w:hint="eastAsia" w:ascii="宋体" w:hAnsi="宋体"/>
          <w:color w:val="000000"/>
          <w:sz w:val="21"/>
          <w:szCs w:val="21"/>
          <w:lang w:val="en-US" w:eastAsia="zh-CN"/>
        </w:rPr>
        <w:t>3</w:t>
      </w:r>
      <w:r>
        <w:rPr>
          <w:rFonts w:ascii="宋体" w:hAnsi="宋体" w:eastAsia="宋体"/>
          <w:color w:val="000000"/>
          <w:sz w:val="21"/>
          <w:szCs w:val="21"/>
        </w:rPr>
        <w:t>]</w:t>
      </w:r>
      <w:r>
        <w:rPr>
          <w:rFonts w:hint="eastAsia" w:ascii="宋体" w:hAnsi="宋体" w:eastAsia="宋体" w:cs="宋体"/>
          <w:sz w:val="21"/>
          <w:szCs w:val="21"/>
          <w:vertAlign w:val="baseline"/>
          <w:lang w:val="en-US" w:eastAsia="zh-CN"/>
        </w:rPr>
        <w:t>李建勇,王建华,范岳峰,周军.曝气流量控制系统用于污水处理厂的节能降耗[J].中国给水排水,2007,23(12):80-84</w:t>
      </w:r>
    </w:p>
    <w:p>
      <w:pPr>
        <w:pStyle w:val="42"/>
        <w:keepNext w:val="0"/>
        <w:keepLines w:val="0"/>
        <w:pageBreakBefore w:val="0"/>
        <w:widowControl/>
        <w:kinsoku/>
        <w:wordWrap/>
        <w:overflowPunct/>
        <w:topLinePunct w:val="0"/>
        <w:autoSpaceDE/>
        <w:autoSpaceDN/>
        <w:bidi w:val="0"/>
        <w:adjustRightInd/>
        <w:snapToGrid/>
        <w:ind w:left="0" w:leftChars="0" w:firstLine="420" w:firstLineChars="200"/>
        <w:jc w:val="both"/>
        <w:textAlignment w:val="auto"/>
        <w:rPr>
          <w:rFonts w:hint="eastAsia" w:ascii="宋体" w:hAnsi="宋体" w:eastAsia="宋体" w:cs="宋体"/>
          <w:sz w:val="21"/>
          <w:szCs w:val="21"/>
          <w:vertAlign w:val="baseline"/>
          <w:lang w:val="en-US" w:eastAsia="zh-CN"/>
        </w:rPr>
      </w:pPr>
    </w:p>
    <w:p>
      <w:pPr>
        <w:keepLines w:val="0"/>
        <w:pageBreakBefore w:val="0"/>
        <w:widowControl/>
        <w:kinsoku/>
        <w:wordWrap/>
        <w:overflowPunct/>
        <w:topLinePunct w:val="0"/>
        <w:autoSpaceDE/>
        <w:autoSpaceDN/>
        <w:bidi w:val="0"/>
        <w:adjustRightInd/>
        <w:snapToGrid/>
        <w:ind w:left="0" w:leftChars="0"/>
        <w:jc w:val="left"/>
        <w:rPr>
          <w:rFonts w:ascii="宋体" w:hAnsi="宋体" w:eastAsia="宋体"/>
          <w:kern w:val="0"/>
          <w:sz w:val="18"/>
          <w:szCs w:val="18"/>
        </w:rPr>
      </w:pPr>
      <w:r>
        <w:rPr>
          <w:rFonts w:ascii="宋体" w:hAnsi="宋体" w:eastAsia="宋体"/>
          <w:kern w:val="0"/>
          <w:sz w:val="18"/>
          <w:szCs w:val="18"/>
        </w:rPr>
        <w:t>[</w:t>
      </w:r>
      <w:r>
        <w:rPr>
          <w:rFonts w:hint="eastAsia" w:ascii="宋体" w:hAnsi="宋体" w:eastAsia="宋体"/>
          <w:kern w:val="0"/>
          <w:sz w:val="18"/>
          <w:szCs w:val="18"/>
          <w:lang w:val="en-US" w:eastAsia="zh-CN"/>
        </w:rPr>
        <w:t>通讯</w:t>
      </w:r>
      <w:r>
        <w:rPr>
          <w:rFonts w:hint="eastAsia" w:ascii="宋体" w:hAnsi="宋体" w:eastAsia="宋体"/>
          <w:kern w:val="0"/>
          <w:sz w:val="18"/>
          <w:szCs w:val="18"/>
        </w:rPr>
        <w:t>作者</w:t>
      </w:r>
      <w:r>
        <w:rPr>
          <w:rFonts w:ascii="宋体" w:hAnsi="宋体" w:eastAsia="宋体"/>
          <w:kern w:val="0"/>
          <w:sz w:val="18"/>
          <w:szCs w:val="18"/>
        </w:rPr>
        <w:t>]</w:t>
      </w:r>
      <w:r>
        <w:rPr>
          <w:rFonts w:hint="eastAsia" w:ascii="宋体" w:hAnsi="宋体" w:eastAsia="宋体"/>
          <w:kern w:val="0"/>
          <w:sz w:val="18"/>
          <w:szCs w:val="18"/>
        </w:rPr>
        <w:t>郑燕丽，女（汉族），大学本科，主要从事</w:t>
      </w:r>
      <w:r>
        <w:rPr>
          <w:rFonts w:hint="eastAsia" w:ascii="宋体" w:hAnsi="宋体" w:eastAsia="宋体"/>
          <w:kern w:val="0"/>
          <w:sz w:val="18"/>
          <w:szCs w:val="18"/>
          <w:lang w:val="en-US" w:eastAsia="zh-CN"/>
        </w:rPr>
        <w:t>智慧水务系统</w:t>
      </w:r>
      <w:r>
        <w:rPr>
          <w:rFonts w:hint="eastAsia" w:ascii="宋体" w:hAnsi="宋体" w:eastAsia="宋体"/>
          <w:kern w:val="0"/>
          <w:sz w:val="18"/>
          <w:szCs w:val="18"/>
        </w:rPr>
        <w:t>研究。电话：</w:t>
      </w:r>
      <w:r>
        <w:rPr>
          <w:rFonts w:ascii="宋体" w:hAnsi="宋体" w:eastAsia="宋体"/>
          <w:kern w:val="0"/>
          <w:sz w:val="18"/>
          <w:szCs w:val="18"/>
        </w:rPr>
        <w:t>（021）61621198 13585804710</w:t>
      </w:r>
      <w:r>
        <w:rPr>
          <w:rFonts w:hint="eastAsia" w:ascii="宋体" w:hAnsi="宋体" w:eastAsia="宋体"/>
          <w:kern w:val="0"/>
          <w:sz w:val="18"/>
          <w:szCs w:val="18"/>
        </w:rPr>
        <w:t>；</w:t>
      </w:r>
    </w:p>
    <w:p>
      <w:pPr>
        <w:keepLines w:val="0"/>
        <w:pageBreakBefore w:val="0"/>
        <w:widowControl/>
        <w:kinsoku/>
        <w:wordWrap/>
        <w:overflowPunct/>
        <w:topLinePunct w:val="0"/>
        <w:autoSpaceDE/>
        <w:autoSpaceDN/>
        <w:bidi w:val="0"/>
        <w:adjustRightInd/>
        <w:snapToGrid/>
        <w:ind w:left="0" w:leftChars="0"/>
        <w:jc w:val="left"/>
        <w:rPr>
          <w:rFonts w:ascii="宋体" w:hAnsi="宋体" w:eastAsia="宋体"/>
          <w:kern w:val="0"/>
          <w:sz w:val="18"/>
          <w:szCs w:val="18"/>
        </w:rPr>
      </w:pPr>
      <w:r>
        <w:rPr>
          <w:rFonts w:hint="eastAsia" w:ascii="宋体" w:hAnsi="宋体" w:eastAsia="宋体"/>
          <w:kern w:val="0"/>
          <w:sz w:val="18"/>
          <w:szCs w:val="18"/>
        </w:rPr>
        <w:t>E-</w:t>
      </w:r>
      <w:r>
        <w:rPr>
          <w:rFonts w:ascii="宋体" w:hAnsi="宋体" w:eastAsia="宋体"/>
          <w:kern w:val="0"/>
          <w:sz w:val="18"/>
          <w:szCs w:val="18"/>
        </w:rPr>
        <w:t xml:space="preserve">mail: </w:t>
      </w:r>
      <w:r>
        <w:fldChar w:fldCharType="begin"/>
      </w:r>
      <w:r>
        <w:instrText xml:space="preserve"> HYPERLINK "mailto:zhengyanli@haocang.com" </w:instrText>
      </w:r>
      <w:r>
        <w:fldChar w:fldCharType="separate"/>
      </w:r>
      <w:r>
        <w:rPr>
          <w:rStyle w:val="22"/>
          <w:rFonts w:ascii="宋体" w:hAnsi="宋体" w:eastAsia="宋体"/>
          <w:kern w:val="0"/>
          <w:sz w:val="18"/>
          <w:szCs w:val="18"/>
        </w:rPr>
        <w:t>zhengyanli@haocang.com</w:t>
      </w:r>
      <w:r>
        <w:rPr>
          <w:rStyle w:val="22"/>
          <w:rFonts w:ascii="宋体" w:hAnsi="宋体" w:eastAsia="宋体"/>
          <w:kern w:val="0"/>
          <w:sz w:val="18"/>
          <w:szCs w:val="18"/>
        </w:rPr>
        <w:fldChar w:fldCharType="end"/>
      </w:r>
      <w:r>
        <w:rPr>
          <w:rFonts w:hint="eastAsia" w:ascii="宋体" w:hAnsi="宋体" w:eastAsia="宋体"/>
          <w:kern w:val="0"/>
          <w:sz w:val="18"/>
          <w:szCs w:val="18"/>
        </w:rPr>
        <w:t>。</w:t>
      </w:r>
    </w:p>
    <w:sectPr>
      <w:footerReference r:id="rId4" w:type="first"/>
      <w:footerReference r:id="rId3" w:type="default"/>
      <w:pgSz w:w="11906" w:h="16838"/>
      <w:pgMar w:top="1134" w:right="1134" w:bottom="1134" w:left="1134" w:header="851" w:footer="992" w:gutter="0"/>
      <w:pgBorders>
        <w:top w:val="none" w:sz="0" w:space="0"/>
        <w:left w:val="none" w:sz="0" w:space="0"/>
        <w:bottom w:val="none" w:sz="0" w:space="0"/>
        <w:right w:val="none" w:sz="0" w:space="0"/>
      </w:pgBorders>
      <w:pgNumType w:fmt="decimal"/>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ÎÄ¶¦±¨ËÎÌå¼ò">
    <w:altName w:val="宋体"/>
    <w:panose1 w:val="00000000000000000000"/>
    <w:charset w:val="86"/>
    <w:family w:val="roman"/>
    <w:pitch w:val="default"/>
    <w:sig w:usb0="00000000" w:usb1="00000000" w:usb2="00000010"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7FD0729"/>
    <w:multiLevelType w:val="multilevel"/>
    <w:tmpl w:val="47FD0729"/>
    <w:lvl w:ilvl="0" w:tentative="0">
      <w:start w:val="1"/>
      <w:numFmt w:val="decimal"/>
      <w:pStyle w:val="2"/>
      <w:lvlText w:val="%1"/>
      <w:lvlJc w:val="left"/>
      <w:pPr>
        <w:ind w:left="432" w:hanging="432"/>
      </w:pPr>
      <w:rPr>
        <w:b/>
        <w:sz w:val="32"/>
      </w:r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6"/>
      <w:lvlText w:val="%1.%2.%3.%4"/>
      <w:lvlJc w:val="left"/>
      <w:pPr>
        <w:ind w:left="864" w:hanging="864"/>
      </w:pPr>
    </w:lvl>
    <w:lvl w:ilvl="4" w:tentative="0">
      <w:start w:val="1"/>
      <w:numFmt w:val="decimal"/>
      <w:pStyle w:val="7"/>
      <w:lvlText w:val="%1.%2.%3.%4.%5"/>
      <w:lvlJc w:val="left"/>
      <w:pPr>
        <w:ind w:left="1008" w:hanging="1008"/>
      </w:pPr>
    </w:lvl>
    <w:lvl w:ilvl="5" w:tentative="0">
      <w:start w:val="1"/>
      <w:numFmt w:val="decimal"/>
      <w:pStyle w:val="8"/>
      <w:lvlText w:val="%1.%2.%3.%4.%5.%6"/>
      <w:lvlJc w:val="left"/>
      <w:pPr>
        <w:ind w:left="1152" w:hanging="1152"/>
      </w:pPr>
    </w:lvl>
    <w:lvl w:ilvl="6" w:tentative="0">
      <w:start w:val="1"/>
      <w:numFmt w:val="decimal"/>
      <w:pStyle w:val="9"/>
      <w:lvlText w:val="%1.%2.%3.%4.%5.%6.%7"/>
      <w:lvlJc w:val="left"/>
      <w:pPr>
        <w:ind w:left="1296" w:hanging="1296"/>
      </w:pPr>
    </w:lvl>
    <w:lvl w:ilvl="7" w:tentative="0">
      <w:start w:val="1"/>
      <w:numFmt w:val="decimal"/>
      <w:pStyle w:val="10"/>
      <w:lvlText w:val="%1.%2.%3.%4.%5.%6.%7.%8"/>
      <w:lvlJc w:val="left"/>
      <w:pPr>
        <w:ind w:left="1440" w:hanging="1440"/>
      </w:pPr>
    </w:lvl>
    <w:lvl w:ilvl="8" w:tentative="0">
      <w:start w:val="1"/>
      <w:numFmt w:val="decimal"/>
      <w:pStyle w:val="11"/>
      <w:lvlText w:val="%1.%2.%3.%4.%5.%6.%7.%8.%9"/>
      <w:lvlJc w:val="left"/>
      <w:pPr>
        <w:ind w:left="1584" w:hanging="1584"/>
      </w:pPr>
    </w:lvl>
  </w:abstractNum>
  <w:abstractNum w:abstractNumId="1">
    <w:nsid w:val="5E1F161B"/>
    <w:multiLevelType w:val="singleLevel"/>
    <w:tmpl w:val="5E1F161B"/>
    <w:lvl w:ilvl="0" w:tentative="0">
      <w:start w:val="1"/>
      <w:numFmt w:val="decimal"/>
      <w:lvlText w:val="(%1)"/>
      <w:lvlJc w:val="left"/>
      <w:pPr>
        <w:ind w:left="425" w:hanging="425"/>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BlNDhkZjYzYjI3NDJjM2YxMDNhYzRmYzdhZWFhMjkifQ=="/>
  </w:docVars>
  <w:rsids>
    <w:rsidRoot w:val="00C85131"/>
    <w:rsid w:val="000131E2"/>
    <w:rsid w:val="000207ED"/>
    <w:rsid w:val="0002146F"/>
    <w:rsid w:val="00042E08"/>
    <w:rsid w:val="00042EF9"/>
    <w:rsid w:val="00050C3D"/>
    <w:rsid w:val="00055CBB"/>
    <w:rsid w:val="0005788D"/>
    <w:rsid w:val="000606CA"/>
    <w:rsid w:val="00065AE6"/>
    <w:rsid w:val="00075D10"/>
    <w:rsid w:val="0008428A"/>
    <w:rsid w:val="00086EF2"/>
    <w:rsid w:val="00091804"/>
    <w:rsid w:val="000A0359"/>
    <w:rsid w:val="000A67E1"/>
    <w:rsid w:val="000B0A68"/>
    <w:rsid w:val="000C3C6E"/>
    <w:rsid w:val="000C7964"/>
    <w:rsid w:val="000D68B1"/>
    <w:rsid w:val="000D70B8"/>
    <w:rsid w:val="000F2112"/>
    <w:rsid w:val="000F3083"/>
    <w:rsid w:val="000F3F2D"/>
    <w:rsid w:val="000F6ED4"/>
    <w:rsid w:val="0010224A"/>
    <w:rsid w:val="00136876"/>
    <w:rsid w:val="00152E61"/>
    <w:rsid w:val="00161236"/>
    <w:rsid w:val="00176D44"/>
    <w:rsid w:val="001938E3"/>
    <w:rsid w:val="001C1E23"/>
    <w:rsid w:val="001C25E6"/>
    <w:rsid w:val="001C6574"/>
    <w:rsid w:val="00200C8F"/>
    <w:rsid w:val="002021E1"/>
    <w:rsid w:val="00236AA5"/>
    <w:rsid w:val="00236D54"/>
    <w:rsid w:val="002526B5"/>
    <w:rsid w:val="002C0FE3"/>
    <w:rsid w:val="002C62CE"/>
    <w:rsid w:val="002C6E52"/>
    <w:rsid w:val="002F1759"/>
    <w:rsid w:val="002F5D7D"/>
    <w:rsid w:val="002F65CE"/>
    <w:rsid w:val="00320F7B"/>
    <w:rsid w:val="00324DD9"/>
    <w:rsid w:val="00331999"/>
    <w:rsid w:val="0033266D"/>
    <w:rsid w:val="00337EA4"/>
    <w:rsid w:val="00341CC5"/>
    <w:rsid w:val="00344C9A"/>
    <w:rsid w:val="00350F72"/>
    <w:rsid w:val="00356FC6"/>
    <w:rsid w:val="00376C4C"/>
    <w:rsid w:val="00377A24"/>
    <w:rsid w:val="0038160F"/>
    <w:rsid w:val="0038183B"/>
    <w:rsid w:val="003830BD"/>
    <w:rsid w:val="003831CA"/>
    <w:rsid w:val="003853F8"/>
    <w:rsid w:val="003A60BF"/>
    <w:rsid w:val="003A653F"/>
    <w:rsid w:val="003B0874"/>
    <w:rsid w:val="003B5A37"/>
    <w:rsid w:val="003C649D"/>
    <w:rsid w:val="003D11B7"/>
    <w:rsid w:val="003D764C"/>
    <w:rsid w:val="003E2515"/>
    <w:rsid w:val="004164A8"/>
    <w:rsid w:val="00432533"/>
    <w:rsid w:val="00437CF9"/>
    <w:rsid w:val="00452CBD"/>
    <w:rsid w:val="004613A9"/>
    <w:rsid w:val="0046322F"/>
    <w:rsid w:val="004634B2"/>
    <w:rsid w:val="004669A5"/>
    <w:rsid w:val="00475883"/>
    <w:rsid w:val="00485136"/>
    <w:rsid w:val="004978E5"/>
    <w:rsid w:val="004A0CF8"/>
    <w:rsid w:val="004A17F5"/>
    <w:rsid w:val="004A68D0"/>
    <w:rsid w:val="004A7E65"/>
    <w:rsid w:val="004C1101"/>
    <w:rsid w:val="004D1B80"/>
    <w:rsid w:val="004D4433"/>
    <w:rsid w:val="004E1469"/>
    <w:rsid w:val="004E3461"/>
    <w:rsid w:val="004F34A1"/>
    <w:rsid w:val="005026C1"/>
    <w:rsid w:val="00503042"/>
    <w:rsid w:val="00504404"/>
    <w:rsid w:val="00510A8E"/>
    <w:rsid w:val="005165AF"/>
    <w:rsid w:val="00550475"/>
    <w:rsid w:val="005521ED"/>
    <w:rsid w:val="00566EA7"/>
    <w:rsid w:val="00582B3D"/>
    <w:rsid w:val="005866A8"/>
    <w:rsid w:val="00587E77"/>
    <w:rsid w:val="00594026"/>
    <w:rsid w:val="005A2114"/>
    <w:rsid w:val="005B2F0B"/>
    <w:rsid w:val="005C75DF"/>
    <w:rsid w:val="00603344"/>
    <w:rsid w:val="00610310"/>
    <w:rsid w:val="006176AC"/>
    <w:rsid w:val="006339CE"/>
    <w:rsid w:val="0063490B"/>
    <w:rsid w:val="00637EC7"/>
    <w:rsid w:val="006474A3"/>
    <w:rsid w:val="0065018C"/>
    <w:rsid w:val="006544EF"/>
    <w:rsid w:val="006629E8"/>
    <w:rsid w:val="00676536"/>
    <w:rsid w:val="00676864"/>
    <w:rsid w:val="006835D3"/>
    <w:rsid w:val="00684CDC"/>
    <w:rsid w:val="00694298"/>
    <w:rsid w:val="00696C44"/>
    <w:rsid w:val="006A0BC9"/>
    <w:rsid w:val="006A48E7"/>
    <w:rsid w:val="006A4D10"/>
    <w:rsid w:val="006C1065"/>
    <w:rsid w:val="006C6867"/>
    <w:rsid w:val="006D47B4"/>
    <w:rsid w:val="006E310E"/>
    <w:rsid w:val="006E4699"/>
    <w:rsid w:val="006E68D6"/>
    <w:rsid w:val="006E70F4"/>
    <w:rsid w:val="006F735C"/>
    <w:rsid w:val="00705E81"/>
    <w:rsid w:val="00731029"/>
    <w:rsid w:val="00733FDE"/>
    <w:rsid w:val="00740F64"/>
    <w:rsid w:val="0074438A"/>
    <w:rsid w:val="007573B8"/>
    <w:rsid w:val="007609B7"/>
    <w:rsid w:val="0076176C"/>
    <w:rsid w:val="00763425"/>
    <w:rsid w:val="00765D09"/>
    <w:rsid w:val="0078130B"/>
    <w:rsid w:val="00784080"/>
    <w:rsid w:val="0078711E"/>
    <w:rsid w:val="007A129F"/>
    <w:rsid w:val="007B76A9"/>
    <w:rsid w:val="007D06FE"/>
    <w:rsid w:val="007D4CC5"/>
    <w:rsid w:val="007E46CB"/>
    <w:rsid w:val="007F3105"/>
    <w:rsid w:val="007F7661"/>
    <w:rsid w:val="00823869"/>
    <w:rsid w:val="00833FEA"/>
    <w:rsid w:val="008350B9"/>
    <w:rsid w:val="00850BEF"/>
    <w:rsid w:val="00850FCD"/>
    <w:rsid w:val="00852267"/>
    <w:rsid w:val="008646F9"/>
    <w:rsid w:val="00864C05"/>
    <w:rsid w:val="008663AA"/>
    <w:rsid w:val="0087317B"/>
    <w:rsid w:val="00881E31"/>
    <w:rsid w:val="008954D1"/>
    <w:rsid w:val="008A427E"/>
    <w:rsid w:val="008C5BE5"/>
    <w:rsid w:val="00906544"/>
    <w:rsid w:val="00911556"/>
    <w:rsid w:val="00911F14"/>
    <w:rsid w:val="009145BD"/>
    <w:rsid w:val="00931FEA"/>
    <w:rsid w:val="00935A9D"/>
    <w:rsid w:val="009460E5"/>
    <w:rsid w:val="00951A3E"/>
    <w:rsid w:val="009532AD"/>
    <w:rsid w:val="00954566"/>
    <w:rsid w:val="00955B17"/>
    <w:rsid w:val="009573B0"/>
    <w:rsid w:val="00974B49"/>
    <w:rsid w:val="00985A61"/>
    <w:rsid w:val="009866BC"/>
    <w:rsid w:val="009B0A47"/>
    <w:rsid w:val="009B6109"/>
    <w:rsid w:val="009B7C74"/>
    <w:rsid w:val="009D2825"/>
    <w:rsid w:val="009D49A7"/>
    <w:rsid w:val="009D5B6E"/>
    <w:rsid w:val="009F457B"/>
    <w:rsid w:val="00A01D7F"/>
    <w:rsid w:val="00A04BD0"/>
    <w:rsid w:val="00A079AE"/>
    <w:rsid w:val="00A20FB0"/>
    <w:rsid w:val="00A21A9D"/>
    <w:rsid w:val="00A2536E"/>
    <w:rsid w:val="00A34D53"/>
    <w:rsid w:val="00A4037B"/>
    <w:rsid w:val="00A40CB8"/>
    <w:rsid w:val="00A42BD0"/>
    <w:rsid w:val="00A4499A"/>
    <w:rsid w:val="00A522E8"/>
    <w:rsid w:val="00A56562"/>
    <w:rsid w:val="00A6291F"/>
    <w:rsid w:val="00A65F10"/>
    <w:rsid w:val="00A76A56"/>
    <w:rsid w:val="00A81AF1"/>
    <w:rsid w:val="00A8308E"/>
    <w:rsid w:val="00A94229"/>
    <w:rsid w:val="00A95E1A"/>
    <w:rsid w:val="00A975C8"/>
    <w:rsid w:val="00AA11FC"/>
    <w:rsid w:val="00AA1DAC"/>
    <w:rsid w:val="00AA3B8B"/>
    <w:rsid w:val="00AB147E"/>
    <w:rsid w:val="00AB3416"/>
    <w:rsid w:val="00AC6833"/>
    <w:rsid w:val="00AC7338"/>
    <w:rsid w:val="00AD0065"/>
    <w:rsid w:val="00AD75EF"/>
    <w:rsid w:val="00AE0085"/>
    <w:rsid w:val="00AE49E1"/>
    <w:rsid w:val="00B072C0"/>
    <w:rsid w:val="00B5086D"/>
    <w:rsid w:val="00B54D13"/>
    <w:rsid w:val="00B6522E"/>
    <w:rsid w:val="00B83356"/>
    <w:rsid w:val="00B84A38"/>
    <w:rsid w:val="00BA3374"/>
    <w:rsid w:val="00BA3E63"/>
    <w:rsid w:val="00BB0962"/>
    <w:rsid w:val="00BC2B64"/>
    <w:rsid w:val="00BC5609"/>
    <w:rsid w:val="00BC6123"/>
    <w:rsid w:val="00BE6B0F"/>
    <w:rsid w:val="00BF0E41"/>
    <w:rsid w:val="00BF501C"/>
    <w:rsid w:val="00C15A3E"/>
    <w:rsid w:val="00C231C8"/>
    <w:rsid w:val="00C26CB5"/>
    <w:rsid w:val="00C344AF"/>
    <w:rsid w:val="00C45272"/>
    <w:rsid w:val="00C5317E"/>
    <w:rsid w:val="00C652E4"/>
    <w:rsid w:val="00C67288"/>
    <w:rsid w:val="00C67423"/>
    <w:rsid w:val="00C67D31"/>
    <w:rsid w:val="00C71F9C"/>
    <w:rsid w:val="00C85131"/>
    <w:rsid w:val="00C9651C"/>
    <w:rsid w:val="00CA3E74"/>
    <w:rsid w:val="00CB0FA1"/>
    <w:rsid w:val="00CB18FE"/>
    <w:rsid w:val="00CD0F97"/>
    <w:rsid w:val="00CD34BF"/>
    <w:rsid w:val="00CE2CD6"/>
    <w:rsid w:val="00CE307D"/>
    <w:rsid w:val="00CF3373"/>
    <w:rsid w:val="00D0024F"/>
    <w:rsid w:val="00D01276"/>
    <w:rsid w:val="00D02D7C"/>
    <w:rsid w:val="00D258C1"/>
    <w:rsid w:val="00D34BF3"/>
    <w:rsid w:val="00D535DE"/>
    <w:rsid w:val="00D747DA"/>
    <w:rsid w:val="00D91201"/>
    <w:rsid w:val="00D9666F"/>
    <w:rsid w:val="00D96789"/>
    <w:rsid w:val="00D9731C"/>
    <w:rsid w:val="00DB0774"/>
    <w:rsid w:val="00DB4936"/>
    <w:rsid w:val="00DC39CC"/>
    <w:rsid w:val="00DD25A7"/>
    <w:rsid w:val="00DD5245"/>
    <w:rsid w:val="00E0009E"/>
    <w:rsid w:val="00E0231B"/>
    <w:rsid w:val="00E02C4B"/>
    <w:rsid w:val="00E112A7"/>
    <w:rsid w:val="00E122E0"/>
    <w:rsid w:val="00E21D4A"/>
    <w:rsid w:val="00E2274C"/>
    <w:rsid w:val="00E2743F"/>
    <w:rsid w:val="00E360B2"/>
    <w:rsid w:val="00E43C3E"/>
    <w:rsid w:val="00E704BB"/>
    <w:rsid w:val="00E7636D"/>
    <w:rsid w:val="00E778C5"/>
    <w:rsid w:val="00E96EDA"/>
    <w:rsid w:val="00EA36AE"/>
    <w:rsid w:val="00EC0BB0"/>
    <w:rsid w:val="00EC5303"/>
    <w:rsid w:val="00ED2935"/>
    <w:rsid w:val="00ED3B90"/>
    <w:rsid w:val="00ED7E7D"/>
    <w:rsid w:val="00EE01EB"/>
    <w:rsid w:val="00EE78FC"/>
    <w:rsid w:val="00EE7F81"/>
    <w:rsid w:val="00F0278F"/>
    <w:rsid w:val="00F047AB"/>
    <w:rsid w:val="00F132C4"/>
    <w:rsid w:val="00F13A2B"/>
    <w:rsid w:val="00F145CC"/>
    <w:rsid w:val="00F20E1C"/>
    <w:rsid w:val="00F30083"/>
    <w:rsid w:val="00F32DE4"/>
    <w:rsid w:val="00F32F2B"/>
    <w:rsid w:val="00F5316F"/>
    <w:rsid w:val="00F71660"/>
    <w:rsid w:val="00F82499"/>
    <w:rsid w:val="00F83E2F"/>
    <w:rsid w:val="00F912BB"/>
    <w:rsid w:val="00FA3159"/>
    <w:rsid w:val="00FA5B78"/>
    <w:rsid w:val="00FA6669"/>
    <w:rsid w:val="00FE4F74"/>
    <w:rsid w:val="00FF2D3F"/>
    <w:rsid w:val="00FF2F4A"/>
    <w:rsid w:val="00FF79BD"/>
    <w:rsid w:val="016F0A53"/>
    <w:rsid w:val="046238EC"/>
    <w:rsid w:val="04B50489"/>
    <w:rsid w:val="07076E62"/>
    <w:rsid w:val="07D03B31"/>
    <w:rsid w:val="0AEB0CB9"/>
    <w:rsid w:val="0E261B81"/>
    <w:rsid w:val="0F905A0D"/>
    <w:rsid w:val="118933AA"/>
    <w:rsid w:val="119B6BF3"/>
    <w:rsid w:val="121B1860"/>
    <w:rsid w:val="13687C65"/>
    <w:rsid w:val="139E246C"/>
    <w:rsid w:val="155E53F4"/>
    <w:rsid w:val="189341D2"/>
    <w:rsid w:val="1B983AAB"/>
    <w:rsid w:val="1C705335"/>
    <w:rsid w:val="23154B3F"/>
    <w:rsid w:val="252B23EF"/>
    <w:rsid w:val="25361990"/>
    <w:rsid w:val="266D72CF"/>
    <w:rsid w:val="275840F7"/>
    <w:rsid w:val="2C212E74"/>
    <w:rsid w:val="2C516B25"/>
    <w:rsid w:val="315852F2"/>
    <w:rsid w:val="31A22F4D"/>
    <w:rsid w:val="31F67F57"/>
    <w:rsid w:val="33A45F4B"/>
    <w:rsid w:val="33F77E32"/>
    <w:rsid w:val="35AE249C"/>
    <w:rsid w:val="37052CA2"/>
    <w:rsid w:val="374652DF"/>
    <w:rsid w:val="37B437A2"/>
    <w:rsid w:val="384F2994"/>
    <w:rsid w:val="38775187"/>
    <w:rsid w:val="38F33519"/>
    <w:rsid w:val="3A6E55A8"/>
    <w:rsid w:val="3BDE55AA"/>
    <w:rsid w:val="3CC86DAF"/>
    <w:rsid w:val="411314A4"/>
    <w:rsid w:val="412C38AE"/>
    <w:rsid w:val="42CB04CE"/>
    <w:rsid w:val="42DF707D"/>
    <w:rsid w:val="45B776D8"/>
    <w:rsid w:val="490C3336"/>
    <w:rsid w:val="4ACA229F"/>
    <w:rsid w:val="4B270F3D"/>
    <w:rsid w:val="4C147151"/>
    <w:rsid w:val="4E42349F"/>
    <w:rsid w:val="4E896C86"/>
    <w:rsid w:val="50EE53CF"/>
    <w:rsid w:val="50F64EBC"/>
    <w:rsid w:val="519A436C"/>
    <w:rsid w:val="521B6E58"/>
    <w:rsid w:val="53971C94"/>
    <w:rsid w:val="55234CE9"/>
    <w:rsid w:val="560C06C0"/>
    <w:rsid w:val="56A07F10"/>
    <w:rsid w:val="5725479F"/>
    <w:rsid w:val="57C114CD"/>
    <w:rsid w:val="58EC7E82"/>
    <w:rsid w:val="5A025BA8"/>
    <w:rsid w:val="5C626B70"/>
    <w:rsid w:val="5E774794"/>
    <w:rsid w:val="66576B65"/>
    <w:rsid w:val="669F5489"/>
    <w:rsid w:val="67560C23"/>
    <w:rsid w:val="69070142"/>
    <w:rsid w:val="6AE66B55"/>
    <w:rsid w:val="6BF12F73"/>
    <w:rsid w:val="70116F9E"/>
    <w:rsid w:val="70203A71"/>
    <w:rsid w:val="703357BD"/>
    <w:rsid w:val="725009D6"/>
    <w:rsid w:val="74F12885"/>
    <w:rsid w:val="772A4933"/>
    <w:rsid w:val="77364281"/>
    <w:rsid w:val="7887542A"/>
    <w:rsid w:val="788A2772"/>
    <w:rsid w:val="79FF0AA6"/>
    <w:rsid w:val="7B794D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iPriority="0" w:semiHidden="0" w:name="heading 5"/>
    <w:lsdException w:qFormat="1" w:uiPriority="0" w:semiHidden="0" w:name="heading 6"/>
    <w:lsdException w:qFormat="1"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qFormat="1"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1"/>
    <w:qFormat/>
    <w:uiPriority w:val="0"/>
    <w:pPr>
      <w:keepNext/>
      <w:widowControl/>
      <w:numPr>
        <w:ilvl w:val="0"/>
        <w:numId w:val="1"/>
      </w:numPr>
      <w:ind w:left="0" w:firstLine="0"/>
      <w:jc w:val="left"/>
      <w:outlineLvl w:val="0"/>
    </w:pPr>
    <w:rPr>
      <w:rFonts w:ascii="Arial" w:hAnsi="Arial" w:eastAsia="宋体" w:cs="Times New Roman"/>
      <w:b/>
      <w:bCs/>
      <w:kern w:val="28"/>
      <w:szCs w:val="20"/>
    </w:rPr>
  </w:style>
  <w:style w:type="paragraph" w:styleId="3">
    <w:name w:val="heading 2"/>
    <w:basedOn w:val="1"/>
    <w:next w:val="1"/>
    <w:link w:val="32"/>
    <w:qFormat/>
    <w:uiPriority w:val="0"/>
    <w:pPr>
      <w:keepNext/>
      <w:widowControl/>
      <w:numPr>
        <w:ilvl w:val="1"/>
        <w:numId w:val="1"/>
      </w:numPr>
      <w:tabs>
        <w:tab w:val="left" w:pos="851"/>
      </w:tabs>
      <w:ind w:left="0" w:firstLine="0"/>
      <w:jc w:val="left"/>
      <w:outlineLvl w:val="1"/>
    </w:pPr>
    <w:rPr>
      <w:rFonts w:ascii="Arial" w:hAnsi="Arial" w:eastAsia="宋体" w:cs="Times New Roman"/>
      <w:b/>
      <w:kern w:val="0"/>
      <w:szCs w:val="20"/>
    </w:rPr>
  </w:style>
  <w:style w:type="paragraph" w:styleId="4">
    <w:name w:val="heading 3"/>
    <w:basedOn w:val="1"/>
    <w:next w:val="5"/>
    <w:link w:val="24"/>
    <w:qFormat/>
    <w:uiPriority w:val="9"/>
    <w:pPr>
      <w:keepNext/>
      <w:widowControl/>
      <w:numPr>
        <w:ilvl w:val="2"/>
        <w:numId w:val="1"/>
      </w:numPr>
      <w:tabs>
        <w:tab w:val="left" w:pos="851"/>
      </w:tabs>
      <w:spacing w:before="240" w:after="60"/>
      <w:jc w:val="left"/>
      <w:outlineLvl w:val="2"/>
    </w:pPr>
    <w:rPr>
      <w:rFonts w:ascii="Arial" w:hAnsi="Arial" w:eastAsia="ÎÄ¶¦±¨ËÎÌå¼ò" w:cs="Times New Roman"/>
      <w:kern w:val="0"/>
      <w:sz w:val="24"/>
      <w:szCs w:val="20"/>
    </w:rPr>
  </w:style>
  <w:style w:type="paragraph" w:styleId="6">
    <w:name w:val="heading 4"/>
    <w:basedOn w:val="1"/>
    <w:next w:val="1"/>
    <w:link w:val="25"/>
    <w:qFormat/>
    <w:uiPriority w:val="9"/>
    <w:pPr>
      <w:keepNext/>
      <w:numPr>
        <w:ilvl w:val="3"/>
        <w:numId w:val="1"/>
      </w:numPr>
      <w:tabs>
        <w:tab w:val="left" w:pos="720"/>
      </w:tabs>
      <w:snapToGrid w:val="0"/>
      <w:spacing w:line="300" w:lineRule="auto"/>
      <w:outlineLvl w:val="3"/>
    </w:pPr>
    <w:rPr>
      <w:rFonts w:ascii="楷体_GB2312" w:hAnsi="Times New Roman" w:eastAsia="楷体_GB2312" w:cs="Times New Roman"/>
      <w:sz w:val="30"/>
      <w:szCs w:val="20"/>
    </w:rPr>
  </w:style>
  <w:style w:type="paragraph" w:styleId="7">
    <w:name w:val="heading 5"/>
    <w:basedOn w:val="1"/>
    <w:next w:val="1"/>
    <w:link w:val="33"/>
    <w:unhideWhenUsed/>
    <w:qFormat/>
    <w:uiPriority w:val="0"/>
    <w:pPr>
      <w:keepNext/>
      <w:keepLines/>
      <w:numPr>
        <w:ilvl w:val="4"/>
        <w:numId w:val="1"/>
      </w:numPr>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link w:val="34"/>
    <w:unhideWhenUsed/>
    <w:qFormat/>
    <w:uiPriority w:val="0"/>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9">
    <w:name w:val="heading 7"/>
    <w:basedOn w:val="1"/>
    <w:next w:val="1"/>
    <w:link w:val="35"/>
    <w:unhideWhenUsed/>
    <w:qFormat/>
    <w:uiPriority w:val="0"/>
    <w:pPr>
      <w:keepNext/>
      <w:keepLines/>
      <w:numPr>
        <w:ilvl w:val="6"/>
        <w:numId w:val="1"/>
      </w:numPr>
      <w:spacing w:before="240" w:after="64" w:line="320" w:lineRule="auto"/>
      <w:outlineLvl w:val="6"/>
    </w:pPr>
    <w:rPr>
      <w:rFonts w:ascii="Times New Roman" w:hAnsi="Times New Roman" w:eastAsia="宋体" w:cs="Times New Roman"/>
      <w:b/>
      <w:bCs/>
      <w:sz w:val="24"/>
      <w:szCs w:val="24"/>
    </w:rPr>
  </w:style>
  <w:style w:type="paragraph" w:styleId="10">
    <w:name w:val="heading 8"/>
    <w:basedOn w:val="1"/>
    <w:next w:val="1"/>
    <w:link w:val="36"/>
    <w:qFormat/>
    <w:uiPriority w:val="0"/>
    <w:pPr>
      <w:keepNext/>
      <w:keepLines/>
      <w:numPr>
        <w:ilvl w:val="7"/>
        <w:numId w:val="1"/>
      </w:numPr>
      <w:spacing w:before="240" w:after="64" w:line="320" w:lineRule="auto"/>
      <w:outlineLvl w:val="7"/>
    </w:pPr>
    <w:rPr>
      <w:rFonts w:ascii="Calibri Light" w:hAnsi="Calibri Light" w:eastAsia="宋体" w:cs="Times New Roman"/>
      <w:sz w:val="24"/>
      <w:szCs w:val="24"/>
    </w:rPr>
  </w:style>
  <w:style w:type="paragraph" w:styleId="11">
    <w:name w:val="heading 9"/>
    <w:basedOn w:val="1"/>
    <w:next w:val="1"/>
    <w:link w:val="37"/>
    <w:qFormat/>
    <w:uiPriority w:val="0"/>
    <w:pPr>
      <w:keepNext/>
      <w:keepLines/>
      <w:numPr>
        <w:ilvl w:val="8"/>
        <w:numId w:val="1"/>
      </w:numPr>
      <w:spacing w:before="240" w:after="64" w:line="320" w:lineRule="auto"/>
      <w:outlineLvl w:val="8"/>
    </w:pPr>
    <w:rPr>
      <w:rFonts w:ascii="Calibri Light" w:hAnsi="Calibri Light" w:eastAsia="宋体" w:cs="Times New Roman"/>
      <w:szCs w:val="21"/>
    </w:rPr>
  </w:style>
  <w:style w:type="character" w:default="1" w:styleId="20">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39"/>
    <w:unhideWhenUsed/>
    <w:qFormat/>
    <w:uiPriority w:val="0"/>
    <w:pPr>
      <w:ind w:firstLine="420" w:firstLineChars="200"/>
    </w:pPr>
    <w:rPr>
      <w:rFonts w:ascii="Times New Roman" w:hAnsi="Times New Roman" w:eastAsia="宋体" w:cs="Times New Roman"/>
      <w:szCs w:val="24"/>
    </w:rPr>
  </w:style>
  <w:style w:type="paragraph" w:styleId="12">
    <w:name w:val="caption"/>
    <w:basedOn w:val="1"/>
    <w:next w:val="1"/>
    <w:unhideWhenUsed/>
    <w:qFormat/>
    <w:uiPriority w:val="35"/>
    <w:rPr>
      <w:rFonts w:eastAsia="黑体" w:asciiTheme="majorHAnsi" w:hAnsiTheme="majorHAnsi" w:cstheme="majorBidi"/>
      <w:sz w:val="20"/>
      <w:szCs w:val="20"/>
    </w:rPr>
  </w:style>
  <w:style w:type="paragraph" w:styleId="13">
    <w:name w:val="annotation text"/>
    <w:basedOn w:val="1"/>
    <w:semiHidden/>
    <w:unhideWhenUsed/>
    <w:qFormat/>
    <w:uiPriority w:val="99"/>
    <w:pPr>
      <w:jc w:val="left"/>
    </w:pPr>
  </w:style>
  <w:style w:type="paragraph" w:styleId="14">
    <w:name w:val="Balloon Text"/>
    <w:basedOn w:val="1"/>
    <w:link w:val="41"/>
    <w:semiHidden/>
    <w:unhideWhenUsed/>
    <w:qFormat/>
    <w:uiPriority w:val="99"/>
    <w:rPr>
      <w:sz w:val="18"/>
      <w:szCs w:val="18"/>
    </w:rPr>
  </w:style>
  <w:style w:type="paragraph" w:styleId="15">
    <w:name w:val="footer"/>
    <w:basedOn w:val="1"/>
    <w:link w:val="27"/>
    <w:unhideWhenUsed/>
    <w:qFormat/>
    <w:uiPriority w:val="99"/>
    <w:pPr>
      <w:tabs>
        <w:tab w:val="center" w:pos="4153"/>
        <w:tab w:val="right" w:pos="8306"/>
      </w:tabs>
      <w:snapToGrid w:val="0"/>
      <w:jc w:val="left"/>
    </w:pPr>
    <w:rPr>
      <w:sz w:val="18"/>
      <w:szCs w:val="18"/>
    </w:rPr>
  </w:style>
  <w:style w:type="paragraph" w:styleId="16">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9">
    <w:name w:val="Table Classic 1"/>
    <w:basedOn w:val="17"/>
    <w:semiHidden/>
    <w:unhideWhenUsed/>
    <w:qFormat/>
    <w:uiPriority w:val="99"/>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21">
    <w:name w:val="Emphasis"/>
    <w:basedOn w:val="20"/>
    <w:qFormat/>
    <w:uiPriority w:val="20"/>
    <w:rPr>
      <w:i/>
      <w:iCs/>
    </w:rPr>
  </w:style>
  <w:style w:type="character" w:styleId="22">
    <w:name w:val="Hyperlink"/>
    <w:basedOn w:val="20"/>
    <w:unhideWhenUsed/>
    <w:qFormat/>
    <w:uiPriority w:val="99"/>
    <w:rPr>
      <w:color w:val="0000FF"/>
      <w:u w:val="single"/>
    </w:rPr>
  </w:style>
  <w:style w:type="character" w:styleId="23">
    <w:name w:val="annotation reference"/>
    <w:basedOn w:val="20"/>
    <w:semiHidden/>
    <w:unhideWhenUsed/>
    <w:qFormat/>
    <w:uiPriority w:val="99"/>
    <w:rPr>
      <w:sz w:val="21"/>
      <w:szCs w:val="21"/>
    </w:rPr>
  </w:style>
  <w:style w:type="character" w:customStyle="1" w:styleId="24">
    <w:name w:val="标题 3 字符"/>
    <w:basedOn w:val="20"/>
    <w:link w:val="4"/>
    <w:qFormat/>
    <w:uiPriority w:val="9"/>
    <w:rPr>
      <w:rFonts w:ascii="Arial" w:hAnsi="Arial" w:eastAsia="ÎÄ¶¦±¨ËÎÌå¼ò" w:cs="Times New Roman"/>
      <w:kern w:val="0"/>
      <w:sz w:val="24"/>
      <w:szCs w:val="20"/>
    </w:rPr>
  </w:style>
  <w:style w:type="character" w:customStyle="1" w:styleId="25">
    <w:name w:val="标题 4 字符"/>
    <w:basedOn w:val="20"/>
    <w:link w:val="6"/>
    <w:qFormat/>
    <w:uiPriority w:val="9"/>
    <w:rPr>
      <w:rFonts w:ascii="楷体_GB2312" w:hAnsi="Times New Roman" w:eastAsia="楷体_GB2312" w:cs="Times New Roman"/>
      <w:sz w:val="30"/>
      <w:szCs w:val="20"/>
    </w:rPr>
  </w:style>
  <w:style w:type="character" w:customStyle="1" w:styleId="26">
    <w:name w:val="页眉 字符"/>
    <w:basedOn w:val="20"/>
    <w:link w:val="16"/>
    <w:qFormat/>
    <w:uiPriority w:val="99"/>
    <w:rPr>
      <w:sz w:val="18"/>
      <w:szCs w:val="18"/>
    </w:rPr>
  </w:style>
  <w:style w:type="character" w:customStyle="1" w:styleId="27">
    <w:name w:val="页脚 字符"/>
    <w:basedOn w:val="20"/>
    <w:link w:val="15"/>
    <w:qFormat/>
    <w:uiPriority w:val="99"/>
    <w:rPr>
      <w:sz w:val="18"/>
      <w:szCs w:val="18"/>
    </w:rPr>
  </w:style>
  <w:style w:type="paragraph" w:styleId="28">
    <w:name w:val="List Paragraph"/>
    <w:basedOn w:val="1"/>
    <w:link w:val="38"/>
    <w:qFormat/>
    <w:uiPriority w:val="34"/>
    <w:pPr>
      <w:widowControl/>
      <w:ind w:firstLine="420" w:firstLineChars="200"/>
      <w:jc w:val="left"/>
    </w:pPr>
    <w:rPr>
      <w:rFonts w:ascii="宋体" w:hAnsi="宋体" w:eastAsia="宋体" w:cs="宋体"/>
      <w:kern w:val="0"/>
      <w:sz w:val="24"/>
      <w:szCs w:val="24"/>
    </w:rPr>
  </w:style>
  <w:style w:type="character" w:customStyle="1" w:styleId="29">
    <w:name w:val="16"/>
    <w:basedOn w:val="20"/>
    <w:qFormat/>
    <w:uiPriority w:val="0"/>
    <w:rPr>
      <w:rFonts w:hint="default" w:ascii="Times New Roman" w:hAnsi="Times New Roman" w:cs="Times New Roman"/>
      <w:b/>
      <w:bCs/>
    </w:rPr>
  </w:style>
  <w:style w:type="paragraph" w:customStyle="1" w:styleId="30">
    <w:name w:val="正文1"/>
    <w:qFormat/>
    <w:uiPriority w:val="0"/>
    <w:pPr>
      <w:jc w:val="both"/>
    </w:pPr>
    <w:rPr>
      <w:rFonts w:ascii="Times New Roman" w:hAnsi="Times New Roman" w:eastAsia="宋体" w:cs="Times New Roman"/>
      <w:kern w:val="2"/>
      <w:sz w:val="21"/>
      <w:szCs w:val="21"/>
      <w:lang w:val="en-US" w:eastAsia="zh-CN" w:bidi="ar-SA"/>
    </w:rPr>
  </w:style>
  <w:style w:type="character" w:customStyle="1" w:styleId="31">
    <w:name w:val="标题 1 字符"/>
    <w:basedOn w:val="20"/>
    <w:link w:val="2"/>
    <w:qFormat/>
    <w:uiPriority w:val="0"/>
    <w:rPr>
      <w:rFonts w:ascii="Arial" w:hAnsi="Arial" w:eastAsia="宋体" w:cs="Times New Roman"/>
      <w:b/>
      <w:bCs/>
      <w:kern w:val="28"/>
      <w:sz w:val="21"/>
      <w:szCs w:val="20"/>
    </w:rPr>
  </w:style>
  <w:style w:type="character" w:customStyle="1" w:styleId="32">
    <w:name w:val="标题 2 字符"/>
    <w:basedOn w:val="20"/>
    <w:link w:val="3"/>
    <w:qFormat/>
    <w:uiPriority w:val="0"/>
    <w:rPr>
      <w:rFonts w:ascii="Arial" w:hAnsi="Arial" w:eastAsia="宋体" w:cs="Times New Roman"/>
      <w:b/>
      <w:kern w:val="0"/>
      <w:sz w:val="21"/>
      <w:szCs w:val="20"/>
    </w:rPr>
  </w:style>
  <w:style w:type="character" w:customStyle="1" w:styleId="33">
    <w:name w:val="标题 5 字符"/>
    <w:basedOn w:val="20"/>
    <w:link w:val="7"/>
    <w:qFormat/>
    <w:uiPriority w:val="0"/>
    <w:rPr>
      <w:rFonts w:ascii="Times New Roman" w:hAnsi="Times New Roman" w:eastAsia="宋体" w:cs="Times New Roman"/>
      <w:b/>
      <w:bCs/>
      <w:sz w:val="28"/>
      <w:szCs w:val="28"/>
    </w:rPr>
  </w:style>
  <w:style w:type="character" w:customStyle="1" w:styleId="34">
    <w:name w:val="标题 6 字符"/>
    <w:basedOn w:val="20"/>
    <w:link w:val="8"/>
    <w:qFormat/>
    <w:uiPriority w:val="0"/>
    <w:rPr>
      <w:rFonts w:asciiTheme="majorHAnsi" w:hAnsiTheme="majorHAnsi" w:eastAsiaTheme="majorEastAsia" w:cstheme="majorBidi"/>
      <w:b/>
      <w:bCs/>
      <w:sz w:val="24"/>
      <w:szCs w:val="24"/>
    </w:rPr>
  </w:style>
  <w:style w:type="character" w:customStyle="1" w:styleId="35">
    <w:name w:val="标题 7 字符"/>
    <w:basedOn w:val="20"/>
    <w:link w:val="9"/>
    <w:qFormat/>
    <w:uiPriority w:val="0"/>
    <w:rPr>
      <w:rFonts w:ascii="Times New Roman" w:hAnsi="Times New Roman" w:eastAsia="宋体" w:cs="Times New Roman"/>
      <w:b/>
      <w:bCs/>
      <w:sz w:val="24"/>
      <w:szCs w:val="24"/>
    </w:rPr>
  </w:style>
  <w:style w:type="character" w:customStyle="1" w:styleId="36">
    <w:name w:val="标题 8 字符"/>
    <w:basedOn w:val="20"/>
    <w:link w:val="10"/>
    <w:qFormat/>
    <w:uiPriority w:val="0"/>
    <w:rPr>
      <w:rFonts w:ascii="Calibri Light" w:hAnsi="Calibri Light" w:eastAsia="宋体" w:cs="Times New Roman"/>
      <w:sz w:val="24"/>
      <w:szCs w:val="24"/>
    </w:rPr>
  </w:style>
  <w:style w:type="character" w:customStyle="1" w:styleId="37">
    <w:name w:val="标题 9 字符"/>
    <w:basedOn w:val="20"/>
    <w:link w:val="11"/>
    <w:qFormat/>
    <w:uiPriority w:val="0"/>
    <w:rPr>
      <w:rFonts w:ascii="Calibri Light" w:hAnsi="Calibri Light" w:eastAsia="宋体" w:cs="Times New Roman"/>
      <w:szCs w:val="21"/>
    </w:rPr>
  </w:style>
  <w:style w:type="character" w:customStyle="1" w:styleId="38">
    <w:name w:val="列表段落 字符"/>
    <w:link w:val="28"/>
    <w:qFormat/>
    <w:uiPriority w:val="34"/>
    <w:rPr>
      <w:rFonts w:ascii="宋体" w:hAnsi="宋体" w:eastAsia="宋体" w:cs="宋体"/>
      <w:kern w:val="0"/>
      <w:sz w:val="24"/>
      <w:szCs w:val="24"/>
    </w:rPr>
  </w:style>
  <w:style w:type="character" w:customStyle="1" w:styleId="39">
    <w:name w:val="正文缩进 字符"/>
    <w:link w:val="5"/>
    <w:qFormat/>
    <w:uiPriority w:val="0"/>
    <w:rPr>
      <w:rFonts w:ascii="Times New Roman" w:hAnsi="Times New Roman" w:eastAsia="宋体" w:cs="Times New Roman"/>
      <w:szCs w:val="24"/>
    </w:rPr>
  </w:style>
  <w:style w:type="paragraph" w:customStyle="1" w:styleId="40">
    <w:name w:val="正文2"/>
    <w:qFormat/>
    <w:uiPriority w:val="0"/>
    <w:pPr>
      <w:jc w:val="both"/>
    </w:pPr>
    <w:rPr>
      <w:rFonts w:ascii="Calibri" w:hAnsi="Calibri" w:eastAsia="宋体" w:cs="Calibri"/>
      <w:kern w:val="2"/>
      <w:sz w:val="21"/>
      <w:szCs w:val="21"/>
      <w:lang w:val="en-US" w:eastAsia="zh-CN" w:bidi="ar-SA"/>
    </w:rPr>
  </w:style>
  <w:style w:type="character" w:customStyle="1" w:styleId="41">
    <w:name w:val="批注框文本 字符"/>
    <w:basedOn w:val="20"/>
    <w:link w:val="14"/>
    <w:semiHidden/>
    <w:qFormat/>
    <w:uiPriority w:val="99"/>
    <w:rPr>
      <w:kern w:val="2"/>
      <w:sz w:val="18"/>
      <w:szCs w:val="18"/>
    </w:rPr>
  </w:style>
  <w:style w:type="paragraph" w:customStyle="1" w:styleId="42">
    <w:name w:val="正文3"/>
    <w:qFormat/>
    <w:uiPriority w:val="0"/>
    <w:pPr>
      <w:jc w:val="both"/>
    </w:pPr>
    <w:rPr>
      <w:rFonts w:ascii="等线" w:hAnsi="等线" w:eastAsia="宋体" w:cs="宋体"/>
      <w:kern w:val="2"/>
      <w:sz w:val="21"/>
      <w:szCs w:val="21"/>
      <w:lang w:val="en-US" w:eastAsia="zh-CN" w:bidi="ar-SA"/>
    </w:rPr>
  </w:style>
  <w:style w:type="table" w:customStyle="1" w:styleId="43">
    <w:name w:val="Plain Table 4"/>
    <w:basedOn w:val="17"/>
    <w:qFormat/>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44">
    <w:name w:val="Plain Table 2"/>
    <w:basedOn w:val="17"/>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45">
    <w:name w:val="三线表"/>
    <w:basedOn w:val="19"/>
    <w:qFormat/>
    <w:uiPriority w:val="99"/>
    <w:tcPr>
      <w:shd w:val="clear" w:color="auto" w:fill="auto"/>
    </w:tc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character" w:customStyle="1" w:styleId="46">
    <w:name w:val="Unresolved Mention"/>
    <w:basedOn w:val="2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CDE6D8-D200-446E-89F8-F9B3E771A9B2}">
  <ds:schemaRefs/>
</ds:datastoreItem>
</file>

<file path=docProps/app.xml><?xml version="1.0" encoding="utf-8"?>
<Properties xmlns="http://schemas.openxmlformats.org/officeDocument/2006/extended-properties" xmlns:vt="http://schemas.openxmlformats.org/officeDocument/2006/docPropsVTypes">
  <Template>Normal</Template>
  <Pages>8</Pages>
  <Words>5022</Words>
  <Characters>5385</Characters>
  <Lines>62</Lines>
  <Paragraphs>17</Paragraphs>
  <TotalTime>1</TotalTime>
  <ScaleCrop>false</ScaleCrop>
  <LinksUpToDate>false</LinksUpToDate>
  <CharactersWithSpaces>5403</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2020-01-15T06:14:00Z</dcterms:created>
  <dc:creator>HC system</dc:creator>
  <cp:lastModifiedBy>郑燕丽</cp:lastModifiedBy>
  <dcterms:modified xsi:type="dcterms:W3CDTF">2022-08-11T07:16:42Z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ReviseMark">
    <vt:bool>true</vt:bool>
  </property>
  <property fmtid="{D5CDD505-2E9C-101B-9397-08002B2CF9AE}" pid="4" name="ICV">
    <vt:lpwstr>D7EE4DD156034A358A78D9551BC69DAE</vt:lpwstr>
  </property>
</Properties>
</file>